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E4A7" w14:textId="77777777" w:rsidR="00B04090" w:rsidRPr="00EB7299" w:rsidRDefault="00B04090" w:rsidP="00806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B04090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0" locked="0" layoutInCell="1" allowOverlap="1" wp14:anchorId="6475438B" wp14:editId="01AD14D9">
            <wp:simplePos x="0" y="0"/>
            <wp:positionH relativeFrom="column">
              <wp:posOffset>-176530</wp:posOffset>
            </wp:positionH>
            <wp:positionV relativeFrom="paragraph">
              <wp:posOffset>-358140</wp:posOffset>
            </wp:positionV>
            <wp:extent cx="1952625" cy="1169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243894f11ec5b60888865cb801ad89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lang w:val="mn-MN"/>
        </w:rPr>
        <w:t xml:space="preserve">              </w:t>
      </w:r>
      <w:r w:rsidR="00BE2977">
        <w:rPr>
          <w:rFonts w:ascii="Times New Roman" w:hAnsi="Times New Roman" w:cs="Times New Roman"/>
          <w:sz w:val="24"/>
        </w:rPr>
        <w:t xml:space="preserve">                        </w:t>
      </w:r>
      <w:r w:rsidRPr="00EB7299">
        <w:rPr>
          <w:rFonts w:ascii="Times New Roman" w:hAnsi="Times New Roman" w:cs="Times New Roman"/>
          <w:sz w:val="24"/>
          <w:szCs w:val="24"/>
          <w:lang w:val="mn-MN"/>
        </w:rPr>
        <w:t>КОМПАНИЙН ЗАСАГЛАЛ, КОМПЛАЙНСЫН ХЭЛТСИЙН</w:t>
      </w:r>
    </w:p>
    <w:p w14:paraId="6693ABE3" w14:textId="77777777" w:rsidR="00B160C9" w:rsidRPr="00EB7299" w:rsidRDefault="00B04090" w:rsidP="00806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EB7299"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="00BE297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B7299">
        <w:rPr>
          <w:rFonts w:ascii="Times New Roman" w:hAnsi="Times New Roman" w:cs="Times New Roman"/>
          <w:sz w:val="24"/>
          <w:szCs w:val="24"/>
          <w:lang w:val="mn-MN"/>
        </w:rPr>
        <w:t>ТАНИЛЦУУЛГА</w:t>
      </w:r>
    </w:p>
    <w:p w14:paraId="4A361FC5" w14:textId="77777777" w:rsidR="00EB7299" w:rsidRDefault="00EB7299" w:rsidP="00806BC4">
      <w:pPr>
        <w:spacing w:after="0" w:line="240" w:lineRule="auto"/>
        <w:jc w:val="center"/>
        <w:rPr>
          <w:rFonts w:ascii="Times New Roman" w:hAnsi="Times New Roman" w:cs="Times New Roman"/>
          <w:lang w:val="mn-MN"/>
        </w:rPr>
      </w:pPr>
    </w:p>
    <w:p w14:paraId="196DAF85" w14:textId="77777777" w:rsidR="00EB7299" w:rsidRDefault="00EB7299" w:rsidP="00806BC4">
      <w:pPr>
        <w:spacing w:after="0" w:line="240" w:lineRule="auto"/>
        <w:jc w:val="center"/>
        <w:rPr>
          <w:rFonts w:ascii="Times New Roman" w:hAnsi="Times New Roman" w:cs="Times New Roman"/>
          <w:lang w:val="mn-MN"/>
        </w:rPr>
      </w:pPr>
    </w:p>
    <w:p w14:paraId="1043A820" w14:textId="3F16924D" w:rsidR="00806BC4" w:rsidRDefault="00B07463" w:rsidP="00806B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гол Улсын Их </w:t>
      </w:r>
    </w:p>
    <w:p w14:paraId="0ECA6591" w14:textId="37F3512F" w:rsidR="00806BC4" w:rsidRDefault="00806BC4" w:rsidP="00806B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Монгол Улсын Их </w:t>
      </w:r>
      <w:r w:rsidR="00B07463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D0522E">
        <w:rPr>
          <w:rFonts w:ascii="Times New Roman" w:hAnsi="Times New Roman" w:cs="Times New Roman"/>
          <w:sz w:val="24"/>
          <w:szCs w:val="24"/>
          <w:lang w:val="mn-MN"/>
        </w:rPr>
        <w:t>урл</w:t>
      </w:r>
      <w:r w:rsidR="00CC3CFF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14586A" w:rsidRPr="002B53CB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C3CFF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="00CC3CFF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="00CC3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CFF">
        <w:rPr>
          <w:rFonts w:ascii="Times New Roman" w:hAnsi="Times New Roman" w:cs="Times New Roman"/>
          <w:sz w:val="24"/>
          <w:szCs w:val="24"/>
        </w:rPr>
        <w:t>тогтоол</w:t>
      </w:r>
      <w:proofErr w:type="spellEnd"/>
      <w:r w:rsidR="00CC3CFF">
        <w:rPr>
          <w:rFonts w:ascii="Times New Roman" w:hAnsi="Times New Roman" w:cs="Times New Roman"/>
          <w:sz w:val="24"/>
          <w:szCs w:val="24"/>
          <w:lang w:val="mn-MN"/>
        </w:rPr>
        <w:t>оор</w:t>
      </w:r>
      <w:r w:rsidR="0014586A" w:rsidRPr="002B53CB">
        <w:rPr>
          <w:rFonts w:ascii="Times New Roman" w:hAnsi="Times New Roman" w:cs="Times New Roman"/>
          <w:sz w:val="24"/>
          <w:szCs w:val="24"/>
          <w:lang w:val="mn-MN"/>
        </w:rPr>
        <w:t xml:space="preserve"> батлагдсан “</w:t>
      </w:r>
      <w:r w:rsidR="0014586A" w:rsidRPr="002B53CB">
        <w:rPr>
          <w:rFonts w:ascii="Times New Roman" w:hAnsi="Times New Roman" w:cs="Times New Roman"/>
          <w:bCs/>
          <w:sz w:val="24"/>
          <w:szCs w:val="24"/>
          <w:lang w:val="mn-MN"/>
        </w:rPr>
        <w:t>С</w:t>
      </w:r>
      <w:proofErr w:type="spellStart"/>
      <w:r w:rsidR="0014586A" w:rsidRPr="002B53CB">
        <w:rPr>
          <w:rFonts w:ascii="Times New Roman" w:hAnsi="Times New Roman" w:cs="Times New Roman"/>
          <w:bCs/>
          <w:sz w:val="24"/>
          <w:szCs w:val="24"/>
        </w:rPr>
        <w:t>анхүүгийн</w:t>
      </w:r>
      <w:proofErr w:type="spellEnd"/>
      <w:r w:rsidR="0014586A" w:rsidRPr="002B53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bCs/>
          <w:sz w:val="24"/>
          <w:szCs w:val="24"/>
        </w:rPr>
        <w:t>зохицуулах</w:t>
      </w:r>
      <w:proofErr w:type="spellEnd"/>
      <w:r w:rsidR="0014586A" w:rsidRPr="002B53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bCs/>
          <w:sz w:val="24"/>
          <w:szCs w:val="24"/>
        </w:rPr>
        <w:t>хорооны</w:t>
      </w:r>
      <w:proofErr w:type="spellEnd"/>
      <w:r w:rsidR="0014586A" w:rsidRPr="002B53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bCs/>
          <w:sz w:val="24"/>
          <w:szCs w:val="24"/>
        </w:rPr>
        <w:t>дүрэм</w:t>
      </w:r>
      <w:proofErr w:type="spellEnd"/>
      <w:r w:rsidR="0014586A" w:rsidRPr="002B53CB">
        <w:rPr>
          <w:rFonts w:ascii="Times New Roman" w:hAnsi="Times New Roman" w:cs="Times New Roman"/>
          <w:bCs/>
          <w:sz w:val="24"/>
          <w:szCs w:val="24"/>
          <w:lang w:val="mn-MN"/>
        </w:rPr>
        <w:t>”-ийн 2 дугаар зүйлийн 2.1.5-д</w:t>
      </w:r>
      <w:r w:rsidR="009458A7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зааснаар</w:t>
      </w:r>
      <w:r w:rsidR="0014586A" w:rsidRPr="002B53CB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957B14">
        <w:rPr>
          <w:rFonts w:ascii="Times New Roman" w:hAnsi="Times New Roman" w:cs="Times New Roman"/>
          <w:bCs/>
          <w:sz w:val="24"/>
          <w:szCs w:val="24"/>
          <w:lang w:val="mn-MN"/>
        </w:rPr>
        <w:t>Санхүүгийн зохицуулах х</w:t>
      </w:r>
      <w:r w:rsidR="00F9376B">
        <w:rPr>
          <w:rFonts w:ascii="Times New Roman" w:eastAsia="Times New Roman" w:hAnsi="Times New Roman" w:cs="Times New Roman"/>
          <w:sz w:val="24"/>
          <w:szCs w:val="24"/>
          <w:lang w:val="mn-MN"/>
        </w:rPr>
        <w:t>ороо</w:t>
      </w:r>
      <w:r w:rsidR="006825F3">
        <w:rPr>
          <w:rFonts w:ascii="Times New Roman" w:eastAsia="Times New Roman" w:hAnsi="Times New Roman" w:cs="Times New Roman"/>
          <w:sz w:val="24"/>
          <w:szCs w:val="24"/>
          <w:lang w:val="mn-MN"/>
        </w:rPr>
        <w:t>нд</w:t>
      </w:r>
      <w:r w:rsidR="0090444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олон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улсад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хүлээн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зөвшөөрөгдсөн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компанийн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засаглалын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зарчмыг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нэвтрүүлэх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боловсронгуй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</w:rPr>
        <w:t>болгох</w:t>
      </w:r>
      <w:proofErr w:type="spellEnd"/>
      <w:r w:rsidR="0014586A" w:rsidRPr="002B53CB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үндсэн </w:t>
      </w:r>
      <w:proofErr w:type="spellStart"/>
      <w:r w:rsidR="007F37D7">
        <w:rPr>
          <w:rFonts w:ascii="Times New Roman" w:eastAsia="Times New Roman" w:hAnsi="Times New Roman" w:cs="Times New Roman"/>
          <w:sz w:val="24"/>
          <w:szCs w:val="24"/>
        </w:rPr>
        <w:t>зорилтыг</w:t>
      </w:r>
      <w:proofErr w:type="spellEnd"/>
      <w:r w:rsidR="007F3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37D7">
        <w:rPr>
          <w:rFonts w:ascii="Times New Roman" w:eastAsia="Times New Roman" w:hAnsi="Times New Roman" w:cs="Times New Roman"/>
          <w:sz w:val="24"/>
          <w:szCs w:val="24"/>
        </w:rPr>
        <w:t>ханган</w:t>
      </w:r>
      <w:proofErr w:type="spellEnd"/>
      <w:r w:rsidR="007F3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37D7">
        <w:rPr>
          <w:rFonts w:ascii="Times New Roman" w:eastAsia="Times New Roman" w:hAnsi="Times New Roman" w:cs="Times New Roman"/>
          <w:sz w:val="24"/>
          <w:szCs w:val="24"/>
        </w:rPr>
        <w:t>ажиллах</w:t>
      </w:r>
      <w:proofErr w:type="spellEnd"/>
      <w:r w:rsidR="0014586A" w:rsidRPr="002B53CB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бүрэн эрх</w:t>
      </w:r>
      <w:r w:rsidR="006825F3">
        <w:rPr>
          <w:rFonts w:ascii="Times New Roman" w:eastAsia="Times New Roman" w:hAnsi="Times New Roman" w:cs="Times New Roman"/>
          <w:sz w:val="24"/>
          <w:szCs w:val="24"/>
          <w:lang w:val="mn-MN"/>
        </w:rPr>
        <w:t>ийг олгосон</w:t>
      </w: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билээ</w:t>
      </w:r>
      <w:r w:rsidR="00132784">
        <w:rPr>
          <w:rFonts w:ascii="Times New Roman" w:eastAsia="Times New Roman" w:hAnsi="Times New Roman" w:cs="Times New Roman"/>
          <w:sz w:val="24"/>
          <w:szCs w:val="24"/>
          <w:lang w:val="mn-MN"/>
        </w:rPr>
        <w:t>.</w:t>
      </w:r>
    </w:p>
    <w:p w14:paraId="75ED3DA6" w14:textId="77777777" w:rsidR="00806BC4" w:rsidRDefault="00806BC4" w:rsidP="00806B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14:paraId="1FF34AD3" w14:textId="4C70F354" w:rsidR="00A5058C" w:rsidRPr="00E00E5D" w:rsidRDefault="00BE66C7" w:rsidP="00806BC4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Энэ </w:t>
      </w:r>
      <w:r w:rsidR="00806BC4">
        <w:rPr>
          <w:rFonts w:ascii="Times New Roman" w:eastAsia="Times New Roman" w:hAnsi="Times New Roman" w:cs="Times New Roman"/>
          <w:sz w:val="24"/>
          <w:szCs w:val="24"/>
          <w:lang w:val="mn-MN"/>
        </w:rPr>
        <w:t>дагуу</w:t>
      </w: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CB2081">
        <w:rPr>
          <w:rFonts w:ascii="Times New Roman" w:hAnsi="Times New Roman" w:cs="Times New Roman"/>
          <w:sz w:val="24"/>
          <w:szCs w:val="24"/>
          <w:lang w:val="mn-MN"/>
        </w:rPr>
        <w:t>Санхүүгийн зохицуулах хорооноос 2007, 2014 онуудад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>Монгол Улс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>ын хэмжээнд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 xml:space="preserve"> мөрд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>үүлэхээр</w:t>
      </w:r>
      <w:r w:rsidR="00CB208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>“К</w:t>
      </w:r>
      <w:r w:rsidR="00CB2081">
        <w:rPr>
          <w:rFonts w:ascii="Times New Roman" w:hAnsi="Times New Roman" w:cs="Times New Roman"/>
          <w:sz w:val="24"/>
          <w:szCs w:val="24"/>
          <w:lang w:val="mn-MN"/>
        </w:rPr>
        <w:t>омпанийн засаглалын кодекс”-ыг батлан компанийн засаглалын талаарх мэдлэг, мэдээллийг түгээх, уг зарчмуу</w:t>
      </w:r>
      <w:r w:rsidR="00480198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BD21ED">
        <w:rPr>
          <w:rFonts w:ascii="Times New Roman" w:hAnsi="Times New Roman" w:cs="Times New Roman"/>
          <w:sz w:val="24"/>
          <w:szCs w:val="24"/>
          <w:lang w:val="mn-MN"/>
        </w:rPr>
        <w:t xml:space="preserve">ыг хэрэгжүүлэх </w:t>
      </w:r>
      <w:r w:rsidR="00480198">
        <w:rPr>
          <w:rFonts w:ascii="Times New Roman" w:hAnsi="Times New Roman" w:cs="Times New Roman"/>
          <w:sz w:val="24"/>
          <w:szCs w:val="24"/>
          <w:lang w:val="mn-MN"/>
        </w:rPr>
        <w:t>үндсэн</w:t>
      </w:r>
      <w:r w:rsidR="00CB2081">
        <w:rPr>
          <w:rFonts w:ascii="Times New Roman" w:hAnsi="Times New Roman" w:cs="Times New Roman"/>
          <w:sz w:val="24"/>
          <w:szCs w:val="24"/>
          <w:lang w:val="mn-MN"/>
        </w:rPr>
        <w:t xml:space="preserve"> суурийг тавьсан хэдий ч түүний хэрэгжилт хангал</w:t>
      </w:r>
      <w:r w:rsidR="00BC1896">
        <w:rPr>
          <w:rFonts w:ascii="Times New Roman" w:hAnsi="Times New Roman" w:cs="Times New Roman"/>
          <w:sz w:val="24"/>
          <w:szCs w:val="24"/>
          <w:lang w:val="mn-MN"/>
        </w:rPr>
        <w:t>ттай бус байсантай холбогдуулан</w:t>
      </w:r>
      <w:r w:rsidR="006324C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 xml:space="preserve">зохицуулалтын салбарт компанийн засаглалын орчинг боловсронгуй болгох, 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 xml:space="preserve">сайн засаглалын зарчмуудын хэрэгжилтийг 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>идэвхжүүлэх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 xml:space="preserve"> зорилгоор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5058C" w:rsidRPr="00EB7299"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зохицуулах хорооны 2020 оны </w:t>
      </w:r>
      <w:r w:rsidR="00A5058C" w:rsidRPr="00EB7299">
        <w:rPr>
          <w:rFonts w:ascii="Times New Roman" w:hAnsi="Times New Roman" w:cs="Times New Roman"/>
          <w:sz w:val="24"/>
          <w:szCs w:val="24"/>
        </w:rPr>
        <w:t xml:space="preserve">02 </w:t>
      </w:r>
      <w:r w:rsidR="00132784">
        <w:rPr>
          <w:rFonts w:ascii="Times New Roman" w:hAnsi="Times New Roman" w:cs="Times New Roman"/>
          <w:sz w:val="24"/>
          <w:szCs w:val="24"/>
          <w:lang w:val="mn-MN"/>
        </w:rPr>
        <w:t>дугаар сарын 12-ны өдрийн</w:t>
      </w:r>
      <w:r w:rsidR="00A5058C" w:rsidRPr="00EB7299">
        <w:rPr>
          <w:rFonts w:ascii="Times New Roman" w:hAnsi="Times New Roman" w:cs="Times New Roman"/>
          <w:sz w:val="24"/>
          <w:szCs w:val="24"/>
          <w:lang w:val="mn-MN"/>
        </w:rPr>
        <w:t xml:space="preserve"> 78 дугаар тогтоолоор </w:t>
      </w:r>
      <w:r w:rsidR="00A5058C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A5058C" w:rsidRPr="00EB7299">
        <w:rPr>
          <w:rFonts w:ascii="Times New Roman" w:hAnsi="Times New Roman" w:cs="Times New Roman"/>
          <w:sz w:val="24"/>
          <w:szCs w:val="24"/>
          <w:lang w:val="mn-MN"/>
        </w:rPr>
        <w:t>К</w:t>
      </w:r>
      <w:r w:rsidR="00A5058C">
        <w:rPr>
          <w:rFonts w:ascii="Times New Roman" w:hAnsi="Times New Roman" w:cs="Times New Roman"/>
          <w:sz w:val="24"/>
          <w:szCs w:val="24"/>
          <w:lang w:val="mn-MN"/>
        </w:rPr>
        <w:t>омпанийн засаглал, комплайнсын хэлтэс”</w:t>
      </w:r>
      <w:r w:rsidR="00F9376B">
        <w:rPr>
          <w:rFonts w:ascii="Times New Roman" w:hAnsi="Times New Roman" w:cs="Times New Roman"/>
          <w:sz w:val="24"/>
          <w:szCs w:val="24"/>
          <w:lang w:val="mn-MN"/>
        </w:rPr>
        <w:t>-ийг шинээр</w:t>
      </w:r>
      <w:r w:rsidR="000F5AF9">
        <w:rPr>
          <w:rFonts w:ascii="Times New Roman" w:hAnsi="Times New Roman" w:cs="Times New Roman"/>
          <w:sz w:val="24"/>
          <w:szCs w:val="24"/>
          <w:lang w:val="mn-MN"/>
        </w:rPr>
        <w:t xml:space="preserve"> байгу</w:t>
      </w:r>
      <w:r w:rsidR="00B431BA">
        <w:rPr>
          <w:rFonts w:ascii="Times New Roman" w:hAnsi="Times New Roman" w:cs="Times New Roman"/>
          <w:sz w:val="24"/>
          <w:szCs w:val="24"/>
          <w:lang w:val="mn-MN"/>
        </w:rPr>
        <w:t>ул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>аад байна.</w:t>
      </w:r>
    </w:p>
    <w:p w14:paraId="70E83A64" w14:textId="77777777" w:rsidR="00806BC4" w:rsidRDefault="00806BC4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538A3B65" w14:textId="21AB38D4" w:rsidR="007B2D1F" w:rsidRDefault="00806BC4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Уг</w:t>
      </w:r>
      <w:r w:rsidR="003F79A5">
        <w:rPr>
          <w:rFonts w:ascii="Times New Roman" w:hAnsi="Times New Roman" w:cs="Times New Roman"/>
          <w:sz w:val="24"/>
          <w:szCs w:val="24"/>
          <w:lang w:val="mn-MN"/>
        </w:rPr>
        <w:t xml:space="preserve"> хэлтэс нь компанийн засаглал, комплайнсыг хөгжүүлэх стратеги бодлого, хууль тогтоомж, заавар журмыг боловсронгуй болгох, холбогдох судалгаа шинжилгээг хийх, тусгай зөвшөөрөл эзэмшигчийн үйл ажиллагааны дүрэм, дагаж мөрдөх шалгуур үзүүлэлт, стандарт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>, аргачлалыг боловсруулах</w:t>
      </w:r>
      <w:r w:rsidR="003F79A5">
        <w:rPr>
          <w:rFonts w:ascii="Times New Roman" w:hAnsi="Times New Roman" w:cs="Times New Roman"/>
          <w:sz w:val="24"/>
          <w:szCs w:val="24"/>
          <w:lang w:val="mn-MN"/>
        </w:rPr>
        <w:t>, сургалт зохион байгуулах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засаглалын 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>мэдээллий</w:t>
      </w:r>
      <w:r>
        <w:rPr>
          <w:rFonts w:ascii="Times New Roman" w:hAnsi="Times New Roman" w:cs="Times New Roman"/>
          <w:sz w:val="24"/>
          <w:szCs w:val="24"/>
          <w:lang w:val="mn-MN"/>
        </w:rPr>
        <w:t>г багтаасан мэдээллийн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 xml:space="preserve"> нэгдсэн сан байгуулах зэрэг</w:t>
      </w:r>
      <w:r w:rsidR="003F79A5">
        <w:rPr>
          <w:rFonts w:ascii="Times New Roman" w:hAnsi="Times New Roman" w:cs="Times New Roman"/>
          <w:sz w:val="24"/>
          <w:szCs w:val="24"/>
          <w:lang w:val="mn-MN"/>
        </w:rPr>
        <w:t xml:space="preserve"> зэрэг </w:t>
      </w:r>
      <w:r w:rsidR="00DC566D">
        <w:rPr>
          <w:rFonts w:ascii="Times New Roman" w:hAnsi="Times New Roman" w:cs="Times New Roman"/>
          <w:sz w:val="24"/>
          <w:szCs w:val="24"/>
          <w:lang w:val="mn-MN"/>
        </w:rPr>
        <w:t xml:space="preserve">чиг </w:t>
      </w:r>
      <w:r w:rsidR="003C5994">
        <w:rPr>
          <w:rFonts w:ascii="Times New Roman" w:hAnsi="Times New Roman" w:cs="Times New Roman"/>
          <w:sz w:val="24"/>
          <w:szCs w:val="24"/>
          <w:lang w:val="mn-MN"/>
        </w:rPr>
        <w:t>үүргийг</w:t>
      </w:r>
      <w:r w:rsidR="00DC566D">
        <w:rPr>
          <w:rFonts w:ascii="Times New Roman" w:hAnsi="Times New Roman" w:cs="Times New Roman"/>
          <w:sz w:val="24"/>
          <w:szCs w:val="24"/>
          <w:lang w:val="mn-MN"/>
        </w:rPr>
        <w:t xml:space="preserve"> хэрэгжүүл</w:t>
      </w:r>
      <w:r>
        <w:rPr>
          <w:rFonts w:ascii="Times New Roman" w:hAnsi="Times New Roman" w:cs="Times New Roman"/>
          <w:sz w:val="24"/>
          <w:szCs w:val="24"/>
          <w:lang w:val="mn-MN"/>
        </w:rPr>
        <w:t>эх юм.</w:t>
      </w:r>
      <w:r w:rsidR="00DC566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79157B1D" w14:textId="77777777" w:rsidR="00D10764" w:rsidRDefault="00D10764" w:rsidP="00806BC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mn-MN"/>
        </w:rPr>
        <w:sectPr w:rsidR="00D10764" w:rsidSect="00B04090">
          <w:pgSz w:w="11907" w:h="16839" w:code="9"/>
          <w:pgMar w:top="1134" w:right="567" w:bottom="1134" w:left="1418" w:header="720" w:footer="720" w:gutter="0"/>
          <w:cols w:space="720"/>
          <w:docGrid w:linePitch="360"/>
        </w:sectPr>
      </w:pPr>
    </w:p>
    <w:p w14:paraId="4820F72E" w14:textId="77777777" w:rsidR="00B42538" w:rsidRDefault="00B42538" w:rsidP="00806BC4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  <w:lang w:val="mn-MN"/>
        </w:rPr>
      </w:pPr>
    </w:p>
    <w:p w14:paraId="33B76C10" w14:textId="77777777" w:rsidR="00B42538" w:rsidRDefault="00B42538" w:rsidP="00806BC4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  <w:lang w:val="mn-MN"/>
        </w:rPr>
      </w:pPr>
    </w:p>
    <w:p w14:paraId="1EB97F2D" w14:textId="77777777" w:rsidR="007F3824" w:rsidRDefault="007F3824" w:rsidP="00806BC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mn-MN"/>
        </w:rPr>
        <w:sectPr w:rsidR="007F3824" w:rsidSect="00301C74">
          <w:type w:val="continuous"/>
          <w:pgSz w:w="11907" w:h="16839" w:code="9"/>
          <w:pgMar w:top="1134" w:right="567" w:bottom="1134" w:left="1276" w:header="720" w:footer="720" w:gutter="0"/>
          <w:cols w:num="2" w:space="142"/>
          <w:docGrid w:linePitch="360"/>
        </w:sectPr>
      </w:pPr>
    </w:p>
    <w:tbl>
      <w:tblPr>
        <w:tblStyle w:val="TableGrid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7371"/>
      </w:tblGrid>
      <w:tr w:rsidR="00D10764" w:rsidRPr="00BB7E0A" w14:paraId="4AFA12E3" w14:textId="77777777" w:rsidTr="00D67865">
        <w:trPr>
          <w:trHeight w:val="1532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4D50A143" w14:textId="77777777" w:rsidR="00D10764" w:rsidRPr="00BB7E0A" w:rsidRDefault="00D10764" w:rsidP="00806BC4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Эрх зүйн орчинг боловсронгуй болгох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9475EDC" w14:textId="77777777" w:rsidR="00D10764" w:rsidRPr="00BB7E0A" w:rsidRDefault="00D1076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64" w:hanging="264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“Компанийн засаглалын кодекс”-ыг шинэчлэх</w:t>
            </w:r>
          </w:p>
          <w:p w14:paraId="320ED765" w14:textId="77777777" w:rsidR="00D10764" w:rsidRPr="00BB7E0A" w:rsidRDefault="00D1076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Банкнаас бусад санхүүгийн салбарын мэргэжлийн ёс зүйг сайжруулах</w:t>
            </w:r>
          </w:p>
          <w:p w14:paraId="7E69FD61" w14:textId="77777777" w:rsidR="00D10764" w:rsidRPr="00BB7E0A" w:rsidRDefault="00D1076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Байгууллагын комплайнсын эрсдэлийг үнэлэх, урьдчилан сэ</w:t>
            </w:r>
            <w:r w:rsidR="00C924F5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ргийлэх </w:t>
            </w:r>
            <w:r w:rsidR="00FC0FE7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эрх зүйн орчинг сайжруулах</w:t>
            </w:r>
          </w:p>
          <w:p w14:paraId="432A5B37" w14:textId="15FDBDD0" w:rsidR="00C924F5" w:rsidRPr="00BB7E0A" w:rsidRDefault="000D2E3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Зохицуулалттай этгээд болон бүртгэлтэй хувьцаат компанид засаглал болон комплайнсын чиглэлээр мөрд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ө</w:t>
            </w: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 дүрэм, журам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, заавар, аргачлалыг</w:t>
            </w: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боловсруулах</w:t>
            </w:r>
          </w:p>
        </w:tc>
      </w:tr>
      <w:tr w:rsidR="00D10764" w:rsidRPr="00BB7E0A" w14:paraId="45C75475" w14:textId="77777777" w:rsidTr="00D67865">
        <w:trPr>
          <w:trHeight w:val="2266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37A5C" w14:textId="77777777" w:rsidR="00D10764" w:rsidRPr="00BB7E0A" w:rsidRDefault="00D10764" w:rsidP="00806BC4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Стратеги, бодлогын баримт бичиг боловсруулах,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0AD7" w14:textId="7C998ED4" w:rsidR="00FC0FE7" w:rsidRPr="00BB7E0A" w:rsidRDefault="00AD6C21" w:rsidP="00806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322" w:hanging="322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Хувьцаат компанийн</w:t>
            </w:r>
            <w:r w:rsidR="00FC0FE7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төлөөлөн удирдах зөвлөл</w:t>
            </w:r>
            <w:r w:rsidR="00FC0FE7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, гүйцэтгэх удирдлагын хариуцлага болон урамшууллыг компанийн засаглалын түвшинтэй уялдуулах</w:t>
            </w:r>
          </w:p>
          <w:p w14:paraId="252EB7D8" w14:textId="77777777" w:rsidR="00D10764" w:rsidRPr="00BB7E0A" w:rsidRDefault="00570552" w:rsidP="00806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322" w:hanging="322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Комплайнсын эрсдэлийг удирдах хөтөлбөрийг боловсруулан батлуулж, хэрэгжүүлэх</w:t>
            </w:r>
          </w:p>
          <w:p w14:paraId="0C4F95DD" w14:textId="762C8DA5" w:rsidR="00E26B7C" w:rsidRPr="00BB7E0A" w:rsidRDefault="00E26B7C" w:rsidP="00806B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322" w:hanging="322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Байгууллагын комплайнсын түвшинг тогтоон цаашид авах арга хэмжээ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ний хөтөлбөрийг</w:t>
            </w: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боловсруулах</w:t>
            </w:r>
          </w:p>
          <w:p w14:paraId="60A219DE" w14:textId="7CC907B1" w:rsidR="00FC0FE7" w:rsidRPr="00BB7E0A" w:rsidRDefault="000D2E34" w:rsidP="009116C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322" w:hanging="322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Комплайнсын үйл ажиллагааны хөтөлбөрийн нэгдсэн стандарт боловсруулах</w:t>
            </w:r>
          </w:p>
        </w:tc>
      </w:tr>
      <w:tr w:rsidR="00D10764" w:rsidRPr="00BB7E0A" w14:paraId="083ECD1C" w14:textId="77777777" w:rsidTr="008B7FEE">
        <w:trPr>
          <w:trHeight w:val="995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DB2F" w14:textId="77777777" w:rsidR="00D10764" w:rsidRPr="00BB7E0A" w:rsidRDefault="00D10764" w:rsidP="00806BC4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Төсөл хөтөлбөр боловсруулах, хэрэгжүүлэх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42EA" w14:textId="77777777" w:rsidR="00FC0FE7" w:rsidRPr="00BB7E0A" w:rsidRDefault="00FC0FE7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Компанийн засаглалын кодексийг шинэчлэн боловсруулах</w:t>
            </w:r>
          </w:p>
          <w:p w14:paraId="4A7BBE42" w14:textId="12B97A4A" w:rsidR="00D10764" w:rsidRPr="00BB7E0A" w:rsidRDefault="00D1076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Холбогдох 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мэргэжлийн </w:t>
            </w: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байгууллагуудтай хамтран ажиллах</w:t>
            </w:r>
          </w:p>
        </w:tc>
      </w:tr>
      <w:tr w:rsidR="00D10764" w:rsidRPr="00BB7E0A" w14:paraId="61FC5B02" w14:textId="77777777" w:rsidTr="008B7FEE">
        <w:trPr>
          <w:trHeight w:val="1136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F6A8F" w14:textId="77777777" w:rsidR="00D10764" w:rsidRPr="00BB7E0A" w:rsidRDefault="00D10764" w:rsidP="00806BC4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Олон улсын стандарт, зарчмуудыг мөрдүүлэх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E36A" w14:textId="77777777" w:rsidR="00D10764" w:rsidRPr="00BB7E0A" w:rsidRDefault="00D10764" w:rsidP="00806BC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  <w:p w14:paraId="529C2FE6" w14:textId="77777777" w:rsidR="00D10764" w:rsidRPr="00BB7E0A" w:rsidRDefault="009F45DE" w:rsidP="009116C7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24" w:hanging="32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Компанийн засаглалын кодекс, зарчмууд</w:t>
            </w:r>
          </w:p>
          <w:p w14:paraId="4CE674F4" w14:textId="1963C693" w:rsidR="003F1792" w:rsidRPr="00BB7E0A" w:rsidRDefault="003F1792" w:rsidP="009116C7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24" w:hanging="32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Комплайнсын стандарт</w:t>
            </w:r>
          </w:p>
          <w:p w14:paraId="40218BC8" w14:textId="77777777" w:rsidR="00D10764" w:rsidRPr="00BB7E0A" w:rsidRDefault="00D10764" w:rsidP="00806BC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D10764" w:rsidRPr="00BB7E0A" w14:paraId="6DD9DCB2" w14:textId="77777777" w:rsidTr="00D67865">
        <w:trPr>
          <w:trHeight w:val="1124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C5663" w14:textId="77777777" w:rsidR="00D10764" w:rsidRPr="00BB7E0A" w:rsidRDefault="00D10764" w:rsidP="00806BC4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Сургалт, семинар зохион байгуулах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AEC5" w14:textId="2F665202" w:rsidR="009116C7" w:rsidRDefault="009116C7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Компанийн эрх бүхий албан тушаалтны ахисан шатны сургалт</w:t>
            </w:r>
          </w:p>
          <w:p w14:paraId="224ED4D6" w14:textId="34CC12A9" w:rsidR="00B61B4F" w:rsidRPr="00BB7E0A" w:rsidRDefault="009116C7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</w:t>
            </w:r>
            <w:r w:rsidR="00B61B4F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айгууллагын комплайнсын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хяналтын тогтолцооны </w:t>
            </w:r>
            <w:r w:rsidR="00B61B4F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үйл ажиллагаа</w:t>
            </w:r>
          </w:p>
          <w:p w14:paraId="130B688B" w14:textId="77777777" w:rsidR="004E76D5" w:rsidRDefault="004E76D5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Гарын авлага, тараах материал, брошур бэлтгэ</w:t>
            </w:r>
            <w:r w:rsidR="002B2E65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ж зохицуулалтын 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байгууллага, олон нийтийн хүртээл болгох</w:t>
            </w:r>
          </w:p>
          <w:p w14:paraId="4547C83E" w14:textId="5A3E0C1E" w:rsidR="009116C7" w:rsidRPr="00BB7E0A" w:rsidRDefault="009116C7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Компанийн засаглал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болон комплайнсын чиглэлээр хэлэлцүүлэг, форум, чуулганыг зохион байгуулах</w:t>
            </w:r>
          </w:p>
        </w:tc>
      </w:tr>
      <w:tr w:rsidR="00D10764" w:rsidRPr="00BB7E0A" w14:paraId="2D5D6CB5" w14:textId="77777777" w:rsidTr="00D67865">
        <w:trPr>
          <w:trHeight w:val="1394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8143" w14:textId="77777777" w:rsidR="00D10764" w:rsidRPr="00BB7E0A" w:rsidRDefault="00D10764" w:rsidP="00806BC4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lastRenderedPageBreak/>
              <w:t>Судалгаа, шинжилгээ, үнэлгээ хийх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FD710" w14:textId="4AD96ED1" w:rsidR="00D10764" w:rsidRPr="00BB7E0A" w:rsidRDefault="00D1076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Зохицуулалттай этгээд болон бүртгэлтэй хувьцаат компанийн засаглал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болон комплайнсын хяналтын</w:t>
            </w:r>
            <w:r w:rsidR="00FC0FE7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чиглэлээр судалгаа хийх</w:t>
            </w:r>
          </w:p>
          <w:p w14:paraId="0774F812" w14:textId="3B38CC18" w:rsidR="000D2E34" w:rsidRPr="00BB7E0A" w:rsidRDefault="00FE1099" w:rsidP="00FE1099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84" w:hanging="284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Зохицуулалттай этгээд болон бүртгэлтэй хувьцаат компанийн </w:t>
            </w:r>
            <w:r w:rsidR="00FC0FE7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засаглал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, комплайнсын эрсдэлийн </w:t>
            </w:r>
            <w:r w:rsidR="00FC0FE7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үнэлгээ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г</w:t>
            </w:r>
            <w:r w:rsidR="00FC0FE7"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хий</w:t>
            </w:r>
            <w:r w:rsidR="009116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</w:t>
            </w:r>
          </w:p>
        </w:tc>
      </w:tr>
      <w:tr w:rsidR="00D10764" w:rsidRPr="00BB7E0A" w14:paraId="3873031A" w14:textId="77777777" w:rsidTr="00D67865">
        <w:trPr>
          <w:trHeight w:val="988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74202EFF" w14:textId="77777777" w:rsidR="00D10764" w:rsidRPr="00BB7E0A" w:rsidRDefault="00D10764" w:rsidP="00806BC4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Үзлэг, хяналт шалгалт хийх, гарсан зөрчлийг арилгуулах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1B7E546" w14:textId="77777777" w:rsidR="00D10764" w:rsidRPr="00BB7E0A" w:rsidRDefault="00D1076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17" w:hanging="317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Компанийн засаглалын кодекс, зарчмуудын хэрэгжилт</w:t>
            </w:r>
          </w:p>
          <w:p w14:paraId="56E372FD" w14:textId="77777777" w:rsidR="00D10764" w:rsidRPr="00BB7E0A" w:rsidRDefault="00D1076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17" w:hanging="317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ХК-уудын засаглалын бүтэц, үйл ажиллагаа</w:t>
            </w:r>
          </w:p>
          <w:p w14:paraId="6EBF3577" w14:textId="72AA036E" w:rsidR="000D2E34" w:rsidRPr="00BB7E0A" w:rsidRDefault="000D2E34" w:rsidP="00806BC4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17" w:hanging="317"/>
              <w:textAlignment w:val="top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Байгууллагын комплайнс</w:t>
            </w:r>
            <w:r w:rsidR="00FE109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ын хяналтын тогтолцоо, </w:t>
            </w:r>
            <w:bookmarkStart w:id="0" w:name="_GoBack"/>
            <w:bookmarkEnd w:id="0"/>
            <w:r w:rsidRPr="00BB7E0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хариуцсан нэгж, ажилтны үйл ажиллагаа</w:t>
            </w:r>
          </w:p>
        </w:tc>
      </w:tr>
    </w:tbl>
    <w:p w14:paraId="2F4AD370" w14:textId="77777777" w:rsidR="00EB7299" w:rsidRDefault="00EB7299" w:rsidP="00806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38B52" w14:textId="66C7BC29" w:rsidR="006A5052" w:rsidRPr="00C16508" w:rsidRDefault="0086621D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зохицуулах хорооноос 2014 онд 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>“Компанийн засаглалын кодекс”</w:t>
      </w:r>
      <w:r w:rsidR="00736A21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806BC4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="00736A21">
        <w:rPr>
          <w:rFonts w:ascii="Times New Roman" w:hAnsi="Times New Roman" w:cs="Times New Roman"/>
          <w:sz w:val="24"/>
          <w:szCs w:val="24"/>
          <w:lang w:val="mn-MN"/>
        </w:rPr>
        <w:t>г шинэчлэн баталснаар компаниуд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 xml:space="preserve"> засаглалын</w:t>
      </w:r>
      <w:r w:rsidR="00736A21">
        <w:rPr>
          <w:rFonts w:ascii="Times New Roman" w:hAnsi="Times New Roman" w:cs="Times New Roman"/>
          <w:sz w:val="24"/>
          <w:szCs w:val="24"/>
          <w:lang w:val="mn-MN"/>
        </w:rPr>
        <w:t xml:space="preserve"> талаар ойлголт, мэдлэг мэдээлэлтэй болж компанийн засаглалаа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 xml:space="preserve"> сайжруулах, засаглалын зарчмуудыг хэрэгжүүлэх </w:t>
      </w:r>
      <w:r w:rsidR="006A35FF">
        <w:rPr>
          <w:rFonts w:ascii="Times New Roman" w:hAnsi="Times New Roman" w:cs="Times New Roman"/>
          <w:sz w:val="24"/>
          <w:szCs w:val="24"/>
          <w:lang w:val="mn-MN"/>
        </w:rPr>
        <w:t xml:space="preserve">боломж, 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 xml:space="preserve">үндэс суурийг </w:t>
      </w:r>
      <w:r w:rsidR="00736A21">
        <w:rPr>
          <w:rFonts w:ascii="Times New Roman" w:hAnsi="Times New Roman" w:cs="Times New Roman"/>
          <w:sz w:val="24"/>
          <w:szCs w:val="24"/>
          <w:lang w:val="mn-MN"/>
        </w:rPr>
        <w:t xml:space="preserve">тавьж байсан. Гэсэн </w:t>
      </w:r>
      <w:r w:rsidR="00486328">
        <w:rPr>
          <w:rFonts w:ascii="Times New Roman" w:hAnsi="Times New Roman" w:cs="Times New Roman"/>
          <w:sz w:val="24"/>
          <w:szCs w:val="24"/>
          <w:lang w:val="mn-MN"/>
        </w:rPr>
        <w:t xml:space="preserve">хэдий ч </w:t>
      </w:r>
      <w:r w:rsidR="004D3647">
        <w:rPr>
          <w:rFonts w:ascii="Times New Roman" w:hAnsi="Times New Roman" w:cs="Times New Roman"/>
          <w:sz w:val="24"/>
          <w:szCs w:val="24"/>
          <w:lang w:val="mn-MN"/>
        </w:rPr>
        <w:t>түүний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 xml:space="preserve"> хэрэгжилт төдийлөн хангалттай бус, оролцогч талуудын чадавх харилцан адилгүй, эрх зүйн болон компани</w:t>
      </w:r>
      <w:r w:rsidR="006861CB">
        <w:rPr>
          <w:rFonts w:ascii="Times New Roman" w:hAnsi="Times New Roman" w:cs="Times New Roman"/>
          <w:sz w:val="24"/>
          <w:szCs w:val="24"/>
          <w:lang w:val="mn-MN"/>
        </w:rPr>
        <w:t>йн өөрийн зохицуулалт сул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 xml:space="preserve"> байгаагаас </w:t>
      </w:r>
      <w:r w:rsidR="006861CB">
        <w:rPr>
          <w:rFonts w:ascii="Times New Roman" w:hAnsi="Times New Roman" w:cs="Times New Roman"/>
          <w:sz w:val="24"/>
          <w:szCs w:val="24"/>
          <w:lang w:val="mn-MN"/>
        </w:rPr>
        <w:t xml:space="preserve">үүдэн 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 xml:space="preserve">компанийн </w:t>
      </w:r>
      <w:r w:rsidR="006861CB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>өлөөлөн удирдах зөвлөл, гүйцэтгэх удирдлагын үүрэг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6A5052">
        <w:rPr>
          <w:rFonts w:ascii="Times New Roman" w:hAnsi="Times New Roman" w:cs="Times New Roman"/>
          <w:sz w:val="24"/>
          <w:szCs w:val="24"/>
          <w:lang w:val="mn-MN"/>
        </w:rPr>
        <w:t xml:space="preserve"> хариуцлага сул, хөрөнгө</w:t>
      </w:r>
      <w:r w:rsidR="00D60B58">
        <w:rPr>
          <w:rFonts w:ascii="Times New Roman" w:hAnsi="Times New Roman" w:cs="Times New Roman"/>
          <w:sz w:val="24"/>
          <w:szCs w:val="24"/>
          <w:lang w:val="mn-MN"/>
        </w:rPr>
        <w:t xml:space="preserve"> оруулагч, хувьцаа эзэмшигчид болон оролцогч талуудын </w:t>
      </w:r>
      <w:r w:rsidR="00A12A4E">
        <w:rPr>
          <w:rFonts w:ascii="Times New Roman" w:hAnsi="Times New Roman" w:cs="Times New Roman"/>
          <w:sz w:val="24"/>
          <w:szCs w:val="24"/>
          <w:lang w:val="mn-MN"/>
        </w:rPr>
        <w:t>оролцоог хангуулах</w:t>
      </w:r>
      <w:r w:rsidR="00D60B58">
        <w:rPr>
          <w:rFonts w:ascii="Times New Roman" w:hAnsi="Times New Roman" w:cs="Times New Roman"/>
          <w:sz w:val="24"/>
          <w:szCs w:val="24"/>
          <w:lang w:val="mn-MN"/>
        </w:rPr>
        <w:t xml:space="preserve"> байдал хангалтгүй</w:t>
      </w:r>
      <w:r w:rsidR="00A12A4E">
        <w:rPr>
          <w:rFonts w:ascii="Times New Roman" w:hAnsi="Times New Roman" w:cs="Times New Roman"/>
          <w:sz w:val="24"/>
          <w:szCs w:val="24"/>
          <w:lang w:val="mn-MN"/>
        </w:rPr>
        <w:t xml:space="preserve">гээс үүдэн эрх ашиг нь хохирох </w:t>
      </w:r>
      <w:r w:rsidR="002F575B">
        <w:rPr>
          <w:rFonts w:ascii="Times New Roman" w:hAnsi="Times New Roman" w:cs="Times New Roman"/>
          <w:sz w:val="24"/>
          <w:szCs w:val="24"/>
          <w:lang w:val="mn-MN"/>
        </w:rPr>
        <w:t>асуудал</w:t>
      </w:r>
      <w:r w:rsidR="00876DC1">
        <w:rPr>
          <w:rFonts w:ascii="Times New Roman" w:hAnsi="Times New Roman" w:cs="Times New Roman"/>
          <w:sz w:val="24"/>
          <w:szCs w:val="24"/>
          <w:lang w:val="mn-MN"/>
        </w:rPr>
        <w:t xml:space="preserve"> цөөнгүй гарч байна.</w:t>
      </w:r>
      <w:r w:rsidR="00FE6A9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7167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76DC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16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4A747" w14:textId="77777777" w:rsidR="00BB7E0A" w:rsidRDefault="00211800" w:rsidP="00806BC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331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4609D52" w14:textId="178A6ACE" w:rsidR="00EC396A" w:rsidRDefault="00806BC4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Иймд 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>ИХ20/</w:t>
      </w:r>
      <w:r w:rsidR="00F27D05" w:rsidRPr="00B82124">
        <w:rPr>
          <w:rFonts w:ascii="Times New Roman" w:hAnsi="Times New Roman" w:cs="Times New Roman"/>
          <w:sz w:val="24"/>
          <w:szCs w:val="24"/>
        </w:rPr>
        <w:t>Э</w:t>
      </w:r>
      <w:r w:rsidR="00BE362E">
        <w:rPr>
          <w:rFonts w:ascii="Times New Roman" w:hAnsi="Times New Roman" w:cs="Times New Roman"/>
          <w:sz w:val="24"/>
          <w:szCs w:val="24"/>
          <w:lang w:val="mn-MN"/>
        </w:rPr>
        <w:t>дийн засгийн хамтын ажиллагаа, хөгжлийн байгууллагаас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407C4"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2015 онд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Компанийн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засаглалын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тулгуур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зарчмуудыг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>сайжруулан шинэчлэн бат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>мжилсан бөгөөд</w:t>
      </w:r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>тэдгээрт нийцүүлэн манай оронд мөрдөгдөж буй “К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омпанийн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засаглалын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>"-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ыг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 шинэчлэн сайжруулах хэрэгцээ шаардлага үүсээд байна.</w:t>
      </w:r>
    </w:p>
    <w:p w14:paraId="3430289E" w14:textId="77777777" w:rsidR="00806BC4" w:rsidRDefault="00806BC4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09800405" w14:textId="78256517" w:rsidR="0036570D" w:rsidRDefault="00986370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6570D">
        <w:rPr>
          <w:rFonts w:ascii="Times New Roman" w:hAnsi="Times New Roman" w:cs="Times New Roman"/>
          <w:sz w:val="24"/>
          <w:szCs w:val="24"/>
          <w:lang w:val="mn-MN"/>
        </w:rPr>
        <w:t>К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омпанийн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засаглалы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зарчмуудад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тулгуурлан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хувьцаат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компани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байгууллагын үйл ажиллагааны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онцлогт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тохирсон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шаардлага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шалгуурыг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F27D05" w:rsidRPr="00B82124">
        <w:rPr>
          <w:rFonts w:ascii="Times New Roman" w:hAnsi="Times New Roman" w:cs="Times New Roman"/>
          <w:sz w:val="24"/>
          <w:szCs w:val="24"/>
        </w:rPr>
        <w:t>хэрэгжүүлэх</w:t>
      </w:r>
      <w:proofErr w:type="spellEnd"/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>ийн тулд компанийн</w:t>
      </w:r>
      <w:r w:rsidR="00991354">
        <w:rPr>
          <w:rFonts w:ascii="Times New Roman" w:hAnsi="Times New Roman" w:cs="Times New Roman"/>
          <w:sz w:val="24"/>
          <w:szCs w:val="24"/>
          <w:lang w:val="mn-MN"/>
        </w:rPr>
        <w:t xml:space="preserve"> засаглалын болон комплайнсын тү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>вшний суурь үнэлгээг хийх,</w:t>
      </w:r>
      <w:r w:rsidR="00F27D05" w:rsidRPr="00B82124">
        <w:rPr>
          <w:rFonts w:ascii="Times New Roman" w:hAnsi="Times New Roman" w:cs="Times New Roman"/>
          <w:sz w:val="24"/>
          <w:szCs w:val="24"/>
        </w:rPr>
        <w:t xml:space="preserve"> </w:t>
      </w:r>
      <w:r w:rsidR="00F27D05" w:rsidRPr="00B82124">
        <w:rPr>
          <w:rFonts w:ascii="Times New Roman" w:hAnsi="Times New Roman" w:cs="Times New Roman"/>
          <w:sz w:val="24"/>
          <w:szCs w:val="24"/>
          <w:lang w:val="mn-MN"/>
        </w:rPr>
        <w:t xml:space="preserve">эрх зүйн болон зохицуулалтын орчинг сайжруулах, зах зээлд оролцогчдод мэдээ, мэдээлэл түгээх, шаталсан сургалт зохион байгуулах, гарын авлага, тараах материалыг бэлтгэх, заавар, </w:t>
      </w:r>
      <w:r w:rsidR="00494AC6">
        <w:rPr>
          <w:rFonts w:ascii="Times New Roman" w:hAnsi="Times New Roman" w:cs="Times New Roman"/>
          <w:sz w:val="24"/>
          <w:szCs w:val="24"/>
          <w:lang w:val="mn-MN"/>
        </w:rPr>
        <w:t>зөвлөмж, аргачлалыг боловсруул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 xml:space="preserve">ах </w:t>
      </w:r>
      <w:r w:rsidR="009116C7">
        <w:rPr>
          <w:rFonts w:ascii="Times New Roman" w:hAnsi="Times New Roman" w:cs="Times New Roman"/>
          <w:sz w:val="24"/>
          <w:szCs w:val="24"/>
          <w:lang w:val="mn-MN"/>
        </w:rPr>
        <w:t xml:space="preserve">бэлтгэл </w:t>
      </w:r>
      <w:r w:rsidR="006825F3">
        <w:rPr>
          <w:rFonts w:ascii="Times New Roman" w:hAnsi="Times New Roman" w:cs="Times New Roman"/>
          <w:sz w:val="24"/>
          <w:szCs w:val="24"/>
          <w:lang w:val="mn-MN"/>
        </w:rPr>
        <w:t>ажлууд хийгдэ</w:t>
      </w:r>
      <w:r w:rsidR="009116C7">
        <w:rPr>
          <w:rFonts w:ascii="Times New Roman" w:hAnsi="Times New Roman" w:cs="Times New Roman"/>
          <w:sz w:val="24"/>
          <w:szCs w:val="24"/>
          <w:lang w:val="mn-MN"/>
        </w:rPr>
        <w:t>ж эхэллээ.</w:t>
      </w:r>
      <w:r w:rsidR="00494AC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3F6A56B7" w14:textId="77777777" w:rsidR="00806BC4" w:rsidRDefault="00806BC4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0F26F442" w14:textId="31E95FF8" w:rsidR="0052702C" w:rsidRPr="00473466" w:rsidRDefault="001F30C9" w:rsidP="00806B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Мөн </w:t>
      </w:r>
      <w:r w:rsidR="00223CF0">
        <w:rPr>
          <w:rFonts w:ascii="Times New Roman" w:hAnsi="Times New Roman" w:cs="Times New Roman"/>
          <w:sz w:val="24"/>
          <w:szCs w:val="24"/>
          <w:lang w:val="mn-MN"/>
        </w:rPr>
        <w:t>банкнаас бусад</w:t>
      </w:r>
      <w:r w:rsidR="00B167E4">
        <w:rPr>
          <w:rFonts w:ascii="Times New Roman" w:hAnsi="Times New Roman" w:cs="Times New Roman"/>
          <w:sz w:val="24"/>
          <w:szCs w:val="24"/>
          <w:lang w:val="mn-MN"/>
        </w:rPr>
        <w:t xml:space="preserve"> санхүүгийн байгууллагуудад</w:t>
      </w:r>
      <w:r w:rsidR="00223CF0">
        <w:rPr>
          <w:rFonts w:ascii="Times New Roman" w:hAnsi="Times New Roman" w:cs="Times New Roman"/>
          <w:sz w:val="24"/>
          <w:szCs w:val="24"/>
          <w:lang w:val="mn-MN"/>
        </w:rPr>
        <w:t xml:space="preserve"> комплайнсын </w:t>
      </w:r>
      <w:r w:rsidR="00495CF5">
        <w:rPr>
          <w:rFonts w:ascii="Times New Roman" w:hAnsi="Times New Roman" w:cs="Times New Roman"/>
          <w:sz w:val="24"/>
          <w:szCs w:val="24"/>
          <w:lang w:val="mn-MN"/>
        </w:rPr>
        <w:t xml:space="preserve">сайн хөтөлбөрийг хэрэгжүүлэхэд </w:t>
      </w:r>
      <w:r w:rsidR="00495CF5">
        <w:rPr>
          <w:rFonts w:ascii="Times New Roman" w:hAnsi="Times New Roman" w:cs="Times New Roman"/>
          <w:sz w:val="24"/>
          <w:lang w:val="mn-MN"/>
        </w:rPr>
        <w:t>хууль, эрх зүйн орчин, арга зүйн талаасаа туслалцаа дэмжлэг үзүүлэх, комплайнсын менежментийн олон улсын стандартыг баримтлах талаар заавар зөвлөмж хүргүүлэх,</w:t>
      </w:r>
      <w:r w:rsidR="00BB6A52">
        <w:rPr>
          <w:rFonts w:ascii="Times New Roman" w:hAnsi="Times New Roman" w:cs="Times New Roman"/>
          <w:sz w:val="24"/>
          <w:lang w:val="mn-MN"/>
        </w:rPr>
        <w:t xml:space="preserve"> санхүүгийн салбарын байгууллагуудын мэргэжлийн ёс зүйг сайжруулах</w:t>
      </w:r>
      <w:r w:rsidR="00694CD7">
        <w:rPr>
          <w:rFonts w:ascii="Times New Roman" w:hAnsi="Times New Roman" w:cs="Times New Roman"/>
          <w:sz w:val="24"/>
        </w:rPr>
        <w:t xml:space="preserve"> </w:t>
      </w:r>
      <w:r w:rsidR="00495CF5">
        <w:rPr>
          <w:rFonts w:ascii="Times New Roman" w:hAnsi="Times New Roman" w:cs="Times New Roman"/>
          <w:sz w:val="24"/>
          <w:lang w:val="mn-MN"/>
        </w:rPr>
        <w:t xml:space="preserve"> банкнаас бусад санхүүгийн байгууллагуудын комплайнсын ажилтнуудад зориулсан сургалт зохион байгуулах, мэдээллээр хангах, комплайнсын хэрэгжилтийг хянах</w:t>
      </w:r>
      <w:r w:rsidR="00BB6A52">
        <w:rPr>
          <w:rFonts w:ascii="Times New Roman" w:hAnsi="Times New Roman" w:cs="Times New Roman"/>
          <w:sz w:val="24"/>
          <w:lang w:val="mn-MN"/>
        </w:rPr>
        <w:t xml:space="preserve"> </w:t>
      </w:r>
      <w:r w:rsidR="009116C7">
        <w:rPr>
          <w:rFonts w:ascii="Times New Roman" w:hAnsi="Times New Roman" w:cs="Times New Roman"/>
          <w:sz w:val="24"/>
          <w:lang w:val="mn-MN"/>
        </w:rPr>
        <w:t>зэрэг</w:t>
      </w:r>
      <w:r w:rsidR="00495CF5">
        <w:rPr>
          <w:rFonts w:ascii="Times New Roman" w:hAnsi="Times New Roman" w:cs="Times New Roman"/>
          <w:sz w:val="24"/>
          <w:lang w:val="mn-MN"/>
        </w:rPr>
        <w:t xml:space="preserve"> ажлууд шат дараа</w:t>
      </w:r>
      <w:r w:rsidR="00B244C3">
        <w:rPr>
          <w:rFonts w:ascii="Times New Roman" w:hAnsi="Times New Roman" w:cs="Times New Roman"/>
          <w:sz w:val="24"/>
          <w:lang w:val="mn-MN"/>
        </w:rPr>
        <w:t>т</w:t>
      </w:r>
      <w:r w:rsidR="00494AC6">
        <w:rPr>
          <w:rFonts w:ascii="Times New Roman" w:hAnsi="Times New Roman" w:cs="Times New Roman"/>
          <w:sz w:val="24"/>
          <w:lang w:val="mn-MN"/>
        </w:rPr>
        <w:t>айгаар хэрэгж</w:t>
      </w:r>
      <w:r w:rsidR="009116C7">
        <w:rPr>
          <w:rFonts w:ascii="Times New Roman" w:hAnsi="Times New Roman" w:cs="Times New Roman"/>
          <w:sz w:val="24"/>
          <w:lang w:val="mn-MN"/>
        </w:rPr>
        <w:t>инэ.</w:t>
      </w:r>
    </w:p>
    <w:sectPr w:rsidR="0052702C" w:rsidRPr="00473466" w:rsidSect="007F3824">
      <w:type w:val="continuous"/>
      <w:pgSz w:w="11907" w:h="16839" w:code="9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537D3"/>
    <w:multiLevelType w:val="hybridMultilevel"/>
    <w:tmpl w:val="06124A28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7F02CFC"/>
    <w:multiLevelType w:val="hybridMultilevel"/>
    <w:tmpl w:val="FFB0A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57A7"/>
    <w:multiLevelType w:val="hybridMultilevel"/>
    <w:tmpl w:val="E8362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90"/>
    <w:rsid w:val="000124C0"/>
    <w:rsid w:val="000243A3"/>
    <w:rsid w:val="00025D87"/>
    <w:rsid w:val="0004165B"/>
    <w:rsid w:val="00055ECF"/>
    <w:rsid w:val="00061341"/>
    <w:rsid w:val="00081952"/>
    <w:rsid w:val="00092925"/>
    <w:rsid w:val="000A09E9"/>
    <w:rsid w:val="000C5D6D"/>
    <w:rsid w:val="000C7266"/>
    <w:rsid w:val="000D2E34"/>
    <w:rsid w:val="000D6D7A"/>
    <w:rsid w:val="000E4017"/>
    <w:rsid w:val="000E4F22"/>
    <w:rsid w:val="000F5AF9"/>
    <w:rsid w:val="00114185"/>
    <w:rsid w:val="00132784"/>
    <w:rsid w:val="00141976"/>
    <w:rsid w:val="0014586A"/>
    <w:rsid w:val="001479C9"/>
    <w:rsid w:val="00147EAA"/>
    <w:rsid w:val="00152D3E"/>
    <w:rsid w:val="001543F6"/>
    <w:rsid w:val="00161CF7"/>
    <w:rsid w:val="0016308B"/>
    <w:rsid w:val="00171671"/>
    <w:rsid w:val="0017422E"/>
    <w:rsid w:val="001A0180"/>
    <w:rsid w:val="001A0817"/>
    <w:rsid w:val="001A4413"/>
    <w:rsid w:val="001C4CA6"/>
    <w:rsid w:val="001D4B5E"/>
    <w:rsid w:val="001D50C6"/>
    <w:rsid w:val="001E3D46"/>
    <w:rsid w:val="001F30C9"/>
    <w:rsid w:val="001F40AE"/>
    <w:rsid w:val="001F45E7"/>
    <w:rsid w:val="001F755D"/>
    <w:rsid w:val="00210D28"/>
    <w:rsid w:val="00211800"/>
    <w:rsid w:val="002141E1"/>
    <w:rsid w:val="00214B25"/>
    <w:rsid w:val="002164D4"/>
    <w:rsid w:val="00223CF0"/>
    <w:rsid w:val="002253B6"/>
    <w:rsid w:val="002765E6"/>
    <w:rsid w:val="002857E2"/>
    <w:rsid w:val="00297CE9"/>
    <w:rsid w:val="002B2E65"/>
    <w:rsid w:val="002B53CB"/>
    <w:rsid w:val="002C0823"/>
    <w:rsid w:val="002E63EB"/>
    <w:rsid w:val="002F575B"/>
    <w:rsid w:val="003005ED"/>
    <w:rsid w:val="00301C74"/>
    <w:rsid w:val="00311B3B"/>
    <w:rsid w:val="00312660"/>
    <w:rsid w:val="003159B7"/>
    <w:rsid w:val="00320B53"/>
    <w:rsid w:val="00326472"/>
    <w:rsid w:val="003275ED"/>
    <w:rsid w:val="003333BA"/>
    <w:rsid w:val="0034628D"/>
    <w:rsid w:val="00346E79"/>
    <w:rsid w:val="0036570D"/>
    <w:rsid w:val="00381AC6"/>
    <w:rsid w:val="003C5994"/>
    <w:rsid w:val="003D1450"/>
    <w:rsid w:val="003D4E8B"/>
    <w:rsid w:val="003E3F02"/>
    <w:rsid w:val="003F1792"/>
    <w:rsid w:val="003F79A5"/>
    <w:rsid w:val="004001C8"/>
    <w:rsid w:val="004029DC"/>
    <w:rsid w:val="00430986"/>
    <w:rsid w:val="00430E00"/>
    <w:rsid w:val="00437867"/>
    <w:rsid w:val="00465A3D"/>
    <w:rsid w:val="00473466"/>
    <w:rsid w:val="00480198"/>
    <w:rsid w:val="0048377F"/>
    <w:rsid w:val="00486328"/>
    <w:rsid w:val="00486D34"/>
    <w:rsid w:val="00494AC6"/>
    <w:rsid w:val="00495CF5"/>
    <w:rsid w:val="004A078E"/>
    <w:rsid w:val="004A6875"/>
    <w:rsid w:val="004B1F9E"/>
    <w:rsid w:val="004D339A"/>
    <w:rsid w:val="004D3647"/>
    <w:rsid w:val="004D4E68"/>
    <w:rsid w:val="004E76D5"/>
    <w:rsid w:val="004F5C48"/>
    <w:rsid w:val="00507CD4"/>
    <w:rsid w:val="005252F6"/>
    <w:rsid w:val="0052702C"/>
    <w:rsid w:val="00534454"/>
    <w:rsid w:val="00534672"/>
    <w:rsid w:val="00561449"/>
    <w:rsid w:val="00570552"/>
    <w:rsid w:val="005A5E62"/>
    <w:rsid w:val="005B4F67"/>
    <w:rsid w:val="005E745B"/>
    <w:rsid w:val="00605E8A"/>
    <w:rsid w:val="00611B78"/>
    <w:rsid w:val="0062003A"/>
    <w:rsid w:val="00621E82"/>
    <w:rsid w:val="006324C9"/>
    <w:rsid w:val="00635000"/>
    <w:rsid w:val="00653583"/>
    <w:rsid w:val="006825F3"/>
    <w:rsid w:val="006861CB"/>
    <w:rsid w:val="006871FC"/>
    <w:rsid w:val="0069192B"/>
    <w:rsid w:val="00694CD7"/>
    <w:rsid w:val="006A35FF"/>
    <w:rsid w:val="006A5052"/>
    <w:rsid w:val="006C0FAA"/>
    <w:rsid w:val="006C63C9"/>
    <w:rsid w:val="006F5373"/>
    <w:rsid w:val="00714C65"/>
    <w:rsid w:val="00736A21"/>
    <w:rsid w:val="0075740F"/>
    <w:rsid w:val="007843A7"/>
    <w:rsid w:val="007B2D1F"/>
    <w:rsid w:val="007B7008"/>
    <w:rsid w:val="007D158A"/>
    <w:rsid w:val="007F37D7"/>
    <w:rsid w:val="007F3824"/>
    <w:rsid w:val="00806743"/>
    <w:rsid w:val="00806BC4"/>
    <w:rsid w:val="00821D42"/>
    <w:rsid w:val="00825886"/>
    <w:rsid w:val="00834829"/>
    <w:rsid w:val="00850976"/>
    <w:rsid w:val="0086621D"/>
    <w:rsid w:val="00876DC1"/>
    <w:rsid w:val="008A4F68"/>
    <w:rsid w:val="008B7FEE"/>
    <w:rsid w:val="008C5E84"/>
    <w:rsid w:val="008E010B"/>
    <w:rsid w:val="0090444A"/>
    <w:rsid w:val="00907D47"/>
    <w:rsid w:val="009116C7"/>
    <w:rsid w:val="009407C4"/>
    <w:rsid w:val="00941365"/>
    <w:rsid w:val="009458A7"/>
    <w:rsid w:val="009554C3"/>
    <w:rsid w:val="00957B14"/>
    <w:rsid w:val="009665BC"/>
    <w:rsid w:val="009775E5"/>
    <w:rsid w:val="0098014F"/>
    <w:rsid w:val="00986370"/>
    <w:rsid w:val="00991354"/>
    <w:rsid w:val="009B68FC"/>
    <w:rsid w:val="009E1707"/>
    <w:rsid w:val="009F45DE"/>
    <w:rsid w:val="00A12A4E"/>
    <w:rsid w:val="00A213D3"/>
    <w:rsid w:val="00A40619"/>
    <w:rsid w:val="00A43A8E"/>
    <w:rsid w:val="00A5058C"/>
    <w:rsid w:val="00A91380"/>
    <w:rsid w:val="00AA2532"/>
    <w:rsid w:val="00AA446F"/>
    <w:rsid w:val="00AB04F9"/>
    <w:rsid w:val="00AD6C21"/>
    <w:rsid w:val="00B04090"/>
    <w:rsid w:val="00B07463"/>
    <w:rsid w:val="00B160C9"/>
    <w:rsid w:val="00B167E4"/>
    <w:rsid w:val="00B244C3"/>
    <w:rsid w:val="00B26480"/>
    <w:rsid w:val="00B42538"/>
    <w:rsid w:val="00B431BA"/>
    <w:rsid w:val="00B4685C"/>
    <w:rsid w:val="00B61B4F"/>
    <w:rsid w:val="00B82124"/>
    <w:rsid w:val="00B8660A"/>
    <w:rsid w:val="00B90F4D"/>
    <w:rsid w:val="00B93725"/>
    <w:rsid w:val="00B95B59"/>
    <w:rsid w:val="00B963A3"/>
    <w:rsid w:val="00BA4172"/>
    <w:rsid w:val="00BB4EE3"/>
    <w:rsid w:val="00BB6A52"/>
    <w:rsid w:val="00BB7E0A"/>
    <w:rsid w:val="00BC1896"/>
    <w:rsid w:val="00BD21ED"/>
    <w:rsid w:val="00BE2977"/>
    <w:rsid w:val="00BE362E"/>
    <w:rsid w:val="00BE5DA9"/>
    <w:rsid w:val="00BE66C7"/>
    <w:rsid w:val="00C0656C"/>
    <w:rsid w:val="00C16508"/>
    <w:rsid w:val="00C17439"/>
    <w:rsid w:val="00C24835"/>
    <w:rsid w:val="00C448D9"/>
    <w:rsid w:val="00C568FA"/>
    <w:rsid w:val="00C72B71"/>
    <w:rsid w:val="00C924F5"/>
    <w:rsid w:val="00CB2081"/>
    <w:rsid w:val="00CC3CFF"/>
    <w:rsid w:val="00CE1D32"/>
    <w:rsid w:val="00CE312E"/>
    <w:rsid w:val="00D0522E"/>
    <w:rsid w:val="00D10764"/>
    <w:rsid w:val="00D359ED"/>
    <w:rsid w:val="00D36E81"/>
    <w:rsid w:val="00D60B58"/>
    <w:rsid w:val="00D67865"/>
    <w:rsid w:val="00D70771"/>
    <w:rsid w:val="00D8570A"/>
    <w:rsid w:val="00D92469"/>
    <w:rsid w:val="00DA7418"/>
    <w:rsid w:val="00DB0823"/>
    <w:rsid w:val="00DB720E"/>
    <w:rsid w:val="00DB7F99"/>
    <w:rsid w:val="00DC566D"/>
    <w:rsid w:val="00DC7F68"/>
    <w:rsid w:val="00E00E5D"/>
    <w:rsid w:val="00E05A18"/>
    <w:rsid w:val="00E26B7C"/>
    <w:rsid w:val="00E46C33"/>
    <w:rsid w:val="00E520CB"/>
    <w:rsid w:val="00E7787B"/>
    <w:rsid w:val="00E7790B"/>
    <w:rsid w:val="00E96181"/>
    <w:rsid w:val="00EB7299"/>
    <w:rsid w:val="00EC396A"/>
    <w:rsid w:val="00ED447D"/>
    <w:rsid w:val="00ED4588"/>
    <w:rsid w:val="00EE7E68"/>
    <w:rsid w:val="00EF11BC"/>
    <w:rsid w:val="00F02FE4"/>
    <w:rsid w:val="00F2082F"/>
    <w:rsid w:val="00F27D05"/>
    <w:rsid w:val="00F4251A"/>
    <w:rsid w:val="00F56181"/>
    <w:rsid w:val="00F7459A"/>
    <w:rsid w:val="00F839CF"/>
    <w:rsid w:val="00F9376B"/>
    <w:rsid w:val="00FB2A4C"/>
    <w:rsid w:val="00FC0FE7"/>
    <w:rsid w:val="00FC4C75"/>
    <w:rsid w:val="00FD0B1A"/>
    <w:rsid w:val="00FD2927"/>
    <w:rsid w:val="00FD5308"/>
    <w:rsid w:val="00FE1099"/>
    <w:rsid w:val="00FE649F"/>
    <w:rsid w:val="00FE6A94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7742"/>
  <w15:chartTrackingRefBased/>
  <w15:docId w15:val="{26738278-74EE-43D7-9C2E-B0FF95E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CD4"/>
    <w:pPr>
      <w:ind w:left="720"/>
      <w:contextualSpacing/>
    </w:pPr>
  </w:style>
  <w:style w:type="table" w:styleId="TableGrid">
    <w:name w:val="Table Grid"/>
    <w:basedOn w:val="TableNormal"/>
    <w:uiPriority w:val="39"/>
    <w:rsid w:val="00B4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7456-7B1E-4BC3-9D87-1F4928B1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Shinebayar Ts</dc:creator>
  <cp:keywords/>
  <dc:description/>
  <cp:lastModifiedBy>Avir A</cp:lastModifiedBy>
  <cp:revision>2</cp:revision>
  <cp:lastPrinted>2020-03-25T01:06:00Z</cp:lastPrinted>
  <dcterms:created xsi:type="dcterms:W3CDTF">2020-03-27T07:12:00Z</dcterms:created>
  <dcterms:modified xsi:type="dcterms:W3CDTF">2020-03-27T07:12:00Z</dcterms:modified>
</cp:coreProperties>
</file>