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9B3D2B" w14:textId="4CFCC998" w:rsidR="00EA7EDA" w:rsidRPr="008A2823" w:rsidRDefault="00EA7EDA" w:rsidP="00EA7EDA">
      <w:pPr>
        <w:jc w:val="right"/>
        <w:rPr>
          <w:lang w:val="mn-MN"/>
        </w:rPr>
      </w:pPr>
      <w:r w:rsidRPr="008A2823">
        <w:rPr>
          <w:lang w:val="mn-MN"/>
        </w:rPr>
        <w:t>Санх</w:t>
      </w:r>
      <w:r w:rsidR="008A2823">
        <w:rPr>
          <w:lang w:val="mn-MN"/>
        </w:rPr>
        <w:t xml:space="preserve">үүгийн зохицуулах хорооны </w:t>
      </w:r>
      <w:r w:rsidRPr="008A2823">
        <w:rPr>
          <w:lang w:val="mn-MN"/>
        </w:rPr>
        <w:t xml:space="preserve"> </w:t>
      </w:r>
    </w:p>
    <w:p w14:paraId="2A866CE5" w14:textId="2716CF1C" w:rsidR="00EA7EDA" w:rsidRPr="008A2823" w:rsidRDefault="00990BBC" w:rsidP="00EA7EDA">
      <w:pPr>
        <w:jc w:val="right"/>
        <w:rPr>
          <w:lang w:val="mn-MN"/>
        </w:rPr>
      </w:pPr>
      <w:r w:rsidRPr="008A2823">
        <w:rPr>
          <w:lang w:val="mn-MN"/>
        </w:rPr>
        <w:t>2020 оны 12</w:t>
      </w:r>
      <w:r w:rsidR="00EA7EDA" w:rsidRPr="008A2823">
        <w:rPr>
          <w:lang w:val="mn-MN"/>
        </w:rPr>
        <w:t xml:space="preserve"> дугаар сарын ...-ны </w:t>
      </w:r>
    </w:p>
    <w:p w14:paraId="020C519B" w14:textId="4B6EF77E" w:rsidR="00EA7EDA" w:rsidRPr="008A2823" w:rsidRDefault="008A2823" w:rsidP="00EA7EDA">
      <w:pPr>
        <w:jc w:val="right"/>
        <w:rPr>
          <w:lang w:val="mn-MN"/>
        </w:rPr>
      </w:pPr>
      <w:r>
        <w:rPr>
          <w:lang w:val="mn-MN"/>
        </w:rPr>
        <w:t>өдрийн … дугаар</w:t>
      </w:r>
      <w:r w:rsidR="00EA7EDA" w:rsidRPr="008A2823">
        <w:rPr>
          <w:lang w:val="mn-MN"/>
        </w:rPr>
        <w:t xml:space="preserve"> тогтоолын хавсралт </w:t>
      </w:r>
    </w:p>
    <w:p w14:paraId="2DA35491" w14:textId="77777777" w:rsidR="00EA7EDA" w:rsidRPr="00EA7EDA" w:rsidRDefault="00EA7EDA" w:rsidP="00EA7EDA">
      <w:pPr>
        <w:rPr>
          <w:lang w:val="mn-MN"/>
        </w:rPr>
      </w:pPr>
    </w:p>
    <w:p w14:paraId="6DF00D6D" w14:textId="77777777" w:rsidR="00EA7EDA" w:rsidRPr="00EA7EDA" w:rsidRDefault="00EA7EDA" w:rsidP="00EA7EDA">
      <w:pPr>
        <w:spacing w:before="120" w:after="120"/>
        <w:jc w:val="center"/>
        <w:rPr>
          <w:b/>
          <w:lang w:val="mn-MN"/>
        </w:rPr>
      </w:pPr>
      <w:r w:rsidRPr="00EA7EDA">
        <w:rPr>
          <w:b/>
          <w:lang w:val="mn-MN"/>
        </w:rPr>
        <w:t>БАНК БУС САНХҮҮГИЙН БАЙГУУЛЛАГЫН АКТИВЫГ АНГИЛАХ,</w:t>
      </w:r>
    </w:p>
    <w:p w14:paraId="2D3FFBC5" w14:textId="77777777" w:rsidR="00EA7EDA" w:rsidRPr="00EA7EDA" w:rsidRDefault="00EA7EDA" w:rsidP="00EA7EDA">
      <w:pPr>
        <w:pStyle w:val="Default"/>
        <w:spacing w:before="120" w:after="120"/>
        <w:jc w:val="center"/>
        <w:rPr>
          <w:b/>
          <w:color w:val="auto"/>
          <w:lang w:val="mn-MN"/>
        </w:rPr>
      </w:pPr>
      <w:r w:rsidRPr="00EA7EDA">
        <w:rPr>
          <w:b/>
          <w:color w:val="auto"/>
          <w:lang w:val="mn-MN"/>
        </w:rPr>
        <w:t>АКТИВЫН ЭРСДЭЛИЙН САН БАЙГУУЛЖ, ЗАРЦУУЛАХ ЖУРАМ</w:t>
      </w:r>
    </w:p>
    <w:p w14:paraId="0AAA8112" w14:textId="77777777" w:rsidR="00EA7EDA" w:rsidRPr="00EA7EDA" w:rsidRDefault="00EA7EDA" w:rsidP="00EA7EDA">
      <w:pPr>
        <w:pStyle w:val="Heading1"/>
        <w:rPr>
          <w:rFonts w:cs="Times New Roman"/>
          <w:noProof/>
          <w:lang w:val="mn-MN"/>
        </w:rPr>
      </w:pPr>
      <w:r w:rsidRPr="00EA7EDA">
        <w:rPr>
          <w:rFonts w:cs="Times New Roman"/>
          <w:noProof/>
          <w:lang w:val="mn-MN"/>
        </w:rPr>
        <w:t>Нэг. Нийтлэг үндэслэл</w:t>
      </w:r>
    </w:p>
    <w:p w14:paraId="4A265479" w14:textId="77777777" w:rsidR="00EA7EDA" w:rsidRPr="00EA7EDA" w:rsidRDefault="00EA7EDA" w:rsidP="00EA7EDA">
      <w:pPr>
        <w:pStyle w:val="Default"/>
        <w:widowControl w:val="0"/>
        <w:numPr>
          <w:ilvl w:val="1"/>
          <w:numId w:val="1"/>
        </w:numPr>
        <w:tabs>
          <w:tab w:val="left" w:pos="1134"/>
        </w:tabs>
        <w:spacing w:before="120" w:after="120" w:line="360" w:lineRule="auto"/>
        <w:ind w:left="0" w:firstLine="567"/>
        <w:jc w:val="both"/>
        <w:rPr>
          <w:noProof/>
          <w:color w:val="auto"/>
          <w:lang w:val="mn-MN"/>
        </w:rPr>
      </w:pPr>
      <w:r w:rsidRPr="00EA7EDA">
        <w:rPr>
          <w:noProof/>
          <w:color w:val="auto"/>
          <w:lang w:val="mn-MN"/>
        </w:rPr>
        <w:t>Банк бус санхүүгийн байгууллага (цаашид “ББСБ” гэх) нь зээл, факторинг, үнэт цаас (Монголбанкны үнэт цаас, 1 жил хүртэлх хугацаатай Засгийн газрын үнэт цааснаас бусад үнэт цаас), өмчлөх бусад хөрөнгө, авлагыг ангилах, тэдгээрт учирч болзошгүй алдагдлаас хамгаалах эрсдэлийн санг байгуулж, зарцуулахад энэхүү журмыг мөрдөнө.</w:t>
      </w:r>
    </w:p>
    <w:p w14:paraId="3B8383FE" w14:textId="0A2437B6" w:rsidR="00EA7EDA" w:rsidRPr="00EA7EDA" w:rsidRDefault="00EA7EDA" w:rsidP="00EA7EDA">
      <w:pPr>
        <w:pStyle w:val="Default"/>
        <w:widowControl w:val="0"/>
        <w:numPr>
          <w:ilvl w:val="1"/>
          <w:numId w:val="1"/>
        </w:numPr>
        <w:tabs>
          <w:tab w:val="left" w:pos="1134"/>
        </w:tabs>
        <w:spacing w:before="120" w:after="120" w:line="360" w:lineRule="auto"/>
        <w:ind w:left="0" w:firstLine="567"/>
        <w:jc w:val="both"/>
        <w:rPr>
          <w:noProof/>
          <w:color w:val="auto"/>
          <w:lang w:val="mn-MN"/>
        </w:rPr>
      </w:pPr>
      <w:r w:rsidRPr="00EA7EDA">
        <w:rPr>
          <w:noProof/>
          <w:color w:val="auto"/>
          <w:lang w:val="mn-MN"/>
        </w:rPr>
        <w:t>ББСБ-ын зээлд байгуулсан эрсдэлийн сангийн зардлыг Аж ахуйн нэгжийн орлогын албан татварын тухай хуулийн</w:t>
      </w:r>
      <w:r w:rsidR="008A2823">
        <w:rPr>
          <w:noProof/>
          <w:color w:val="auto"/>
          <w:lang w:val="mn-MN"/>
        </w:rPr>
        <w:t xml:space="preserve"> </w:t>
      </w:r>
      <w:r w:rsidR="008A2823" w:rsidRPr="00532519">
        <w:rPr>
          <w:noProof/>
          <w:color w:val="auto"/>
          <w:lang w:val="mn-MN"/>
        </w:rPr>
        <w:t>15 дугаар зүйлийн 15.1.11-т</w:t>
      </w:r>
      <w:r w:rsidRPr="00EA7EDA">
        <w:rPr>
          <w:noProof/>
          <w:color w:val="auto"/>
          <w:lang w:val="mn-MN"/>
        </w:rPr>
        <w:t xml:space="preserve"> заасны дагуу албан татвар ногдох орлогоос хасч тооцох бөгөөд факторинг, үнэт цаас, өмчлөх бусад хөрөнгө, авлагын ангилалд байгуулсан эрсдэлийн сангийн зардал нь албан татвар ногдох орлогоос хасч тооцох зардалд хамаарахгүй. </w:t>
      </w:r>
    </w:p>
    <w:p w14:paraId="3F6B7F8A" w14:textId="77777777" w:rsidR="00EA7EDA" w:rsidRPr="00EA7EDA" w:rsidRDefault="00EA7EDA" w:rsidP="00EA7EDA">
      <w:pPr>
        <w:pStyle w:val="Default"/>
        <w:widowControl w:val="0"/>
        <w:numPr>
          <w:ilvl w:val="1"/>
          <w:numId w:val="1"/>
        </w:numPr>
        <w:tabs>
          <w:tab w:val="left" w:pos="1134"/>
        </w:tabs>
        <w:spacing w:before="120" w:after="120" w:line="360" w:lineRule="auto"/>
        <w:ind w:left="0" w:firstLine="567"/>
        <w:jc w:val="both"/>
        <w:rPr>
          <w:noProof/>
          <w:color w:val="auto"/>
          <w:lang w:val="mn-MN"/>
        </w:rPr>
      </w:pPr>
      <w:r w:rsidRPr="00EA7EDA">
        <w:rPr>
          <w:noProof/>
          <w:color w:val="auto"/>
          <w:lang w:val="mn-MN"/>
        </w:rPr>
        <w:t xml:space="preserve">ББСБ нь зээл, факторинг, үнэт цаас, өмчлөх бусад хөрөнгө, авлагыг журмын хавсралтад заасан хугацааны үзүүлэлтээр тооцон ангилж, эрсдэлийн санг байгуулна. </w:t>
      </w:r>
    </w:p>
    <w:p w14:paraId="1A08A9ED" w14:textId="77777777" w:rsidR="00EA7EDA" w:rsidRDefault="00EA7EDA" w:rsidP="00EA7EDA">
      <w:pPr>
        <w:pStyle w:val="Default"/>
        <w:widowControl w:val="0"/>
        <w:numPr>
          <w:ilvl w:val="1"/>
          <w:numId w:val="1"/>
        </w:numPr>
        <w:tabs>
          <w:tab w:val="left" w:pos="1134"/>
        </w:tabs>
        <w:spacing w:before="120" w:after="120" w:line="360" w:lineRule="auto"/>
        <w:ind w:left="0" w:firstLine="567"/>
        <w:jc w:val="both"/>
        <w:rPr>
          <w:noProof/>
          <w:color w:val="auto"/>
          <w:lang w:val="mn-MN"/>
        </w:rPr>
      </w:pPr>
      <w:r w:rsidRPr="00EA7EDA">
        <w:rPr>
          <w:noProof/>
          <w:color w:val="auto"/>
          <w:lang w:val="mn-MN"/>
        </w:rPr>
        <w:t xml:space="preserve">ББСБ нь дотооддоо хийсэн активын эрсдэлийн үнэлгээ, дүгнэлт, тэдгээртэй холбогдох нотлох баримтад үндэслэн тухайн активын ангиллыг бууруулж болно. </w:t>
      </w:r>
    </w:p>
    <w:p w14:paraId="596BA5F0" w14:textId="70A221F0" w:rsidR="003E5893" w:rsidRPr="00990BBC" w:rsidRDefault="003E5893" w:rsidP="00EA7EDA">
      <w:pPr>
        <w:pStyle w:val="Default"/>
        <w:widowControl w:val="0"/>
        <w:numPr>
          <w:ilvl w:val="1"/>
          <w:numId w:val="1"/>
        </w:numPr>
        <w:tabs>
          <w:tab w:val="left" w:pos="1134"/>
        </w:tabs>
        <w:spacing w:before="120" w:after="120" w:line="360" w:lineRule="auto"/>
        <w:ind w:left="0" w:firstLine="567"/>
        <w:jc w:val="both"/>
        <w:rPr>
          <w:noProof/>
          <w:color w:val="auto"/>
          <w:lang w:val="mn-MN"/>
        </w:rPr>
      </w:pPr>
      <w:r w:rsidRPr="003C6771">
        <w:rPr>
          <w:noProof/>
          <w:color w:val="auto"/>
          <w:lang w:val="mn-MN"/>
        </w:rPr>
        <w:t xml:space="preserve">ББСБ нь өөрийн үйл ажиллагааны онцлог, цар </w:t>
      </w:r>
      <w:r w:rsidRPr="00990BBC">
        <w:rPr>
          <w:noProof/>
          <w:color w:val="auto"/>
          <w:lang w:val="mn-MN"/>
        </w:rPr>
        <w:t xml:space="preserve">хүрээ, </w:t>
      </w:r>
      <w:r w:rsidR="003C6771" w:rsidRPr="00990BBC">
        <w:rPr>
          <w:noProof/>
          <w:color w:val="auto"/>
          <w:lang w:val="mn-MN"/>
        </w:rPr>
        <w:t xml:space="preserve">давагдашгүй хүчин зүйлийн нөлөөгөөр </w:t>
      </w:r>
      <w:r w:rsidRPr="00990BBC">
        <w:rPr>
          <w:noProof/>
          <w:color w:val="auto"/>
          <w:lang w:val="mn-MN"/>
        </w:rPr>
        <w:t>санхүүгийн салбарт гарсан томоохо</w:t>
      </w:r>
      <w:r w:rsidR="007E02BB" w:rsidRPr="00990BBC">
        <w:rPr>
          <w:noProof/>
          <w:color w:val="auto"/>
          <w:lang w:val="mn-MN"/>
        </w:rPr>
        <w:t>н</w:t>
      </w:r>
      <w:r w:rsidRPr="00990BBC">
        <w:rPr>
          <w:noProof/>
          <w:color w:val="auto"/>
          <w:lang w:val="mn-MN"/>
        </w:rPr>
        <w:t xml:space="preserve"> өөрчлөлт, эрсдэлийн ерөнхий түвшинд суурилан </w:t>
      </w:r>
      <w:r w:rsidR="0012346B" w:rsidRPr="00990BBC">
        <w:rPr>
          <w:noProof/>
          <w:color w:val="auto"/>
          <w:lang w:val="mn-MN"/>
        </w:rPr>
        <w:t>эрсдэлийн сангийн хувь хэмжээг Санхүүгийн зохицуулах хорооноос тогтоосон доод шаардлагаас багагүй хувь хэмжээгээр өөрчлөн тогтоож болно.</w:t>
      </w:r>
    </w:p>
    <w:p w14:paraId="11C9D4E9" w14:textId="7E52E495" w:rsidR="007E02BB" w:rsidRDefault="007E02BB" w:rsidP="00EA7EDA">
      <w:pPr>
        <w:pStyle w:val="Default"/>
        <w:widowControl w:val="0"/>
        <w:numPr>
          <w:ilvl w:val="1"/>
          <w:numId w:val="1"/>
        </w:numPr>
        <w:tabs>
          <w:tab w:val="left" w:pos="1134"/>
        </w:tabs>
        <w:spacing w:before="120" w:after="120" w:line="360" w:lineRule="auto"/>
        <w:ind w:left="0" w:firstLine="567"/>
        <w:jc w:val="both"/>
        <w:rPr>
          <w:noProof/>
          <w:color w:val="auto"/>
          <w:lang w:val="mn-MN"/>
        </w:rPr>
      </w:pPr>
      <w:r w:rsidRPr="00990BBC">
        <w:rPr>
          <w:noProof/>
          <w:color w:val="auto"/>
          <w:lang w:val="mn-MN"/>
        </w:rPr>
        <w:t>ББСБ-</w:t>
      </w:r>
      <w:r w:rsidR="00FD0663" w:rsidRPr="00990BBC">
        <w:rPr>
          <w:noProof/>
          <w:color w:val="auto"/>
          <w:lang w:val="mn-MN"/>
        </w:rPr>
        <w:t>ын</w:t>
      </w:r>
      <w:r w:rsidRPr="00990BBC">
        <w:rPr>
          <w:noProof/>
          <w:color w:val="auto"/>
          <w:lang w:val="mn-MN"/>
        </w:rPr>
        <w:t xml:space="preserve"> активы</w:t>
      </w:r>
      <w:r w:rsidR="003C6771" w:rsidRPr="00990BBC">
        <w:rPr>
          <w:noProof/>
          <w:color w:val="auto"/>
          <w:lang w:val="mn-MN"/>
        </w:rPr>
        <w:t>н</w:t>
      </w:r>
      <w:r w:rsidRPr="00990BBC">
        <w:rPr>
          <w:noProof/>
          <w:color w:val="auto"/>
          <w:lang w:val="mn-MN"/>
        </w:rPr>
        <w:t xml:space="preserve"> ангилал, байгуулсан эрсдэлийн сангийн хэмжээ нь энэ</w:t>
      </w:r>
      <w:r w:rsidR="003C6771" w:rsidRPr="00990BBC">
        <w:rPr>
          <w:noProof/>
          <w:color w:val="auto"/>
          <w:lang w:val="mn-MN"/>
        </w:rPr>
        <w:t>хүү</w:t>
      </w:r>
      <w:r w:rsidRPr="00990BBC">
        <w:rPr>
          <w:noProof/>
          <w:color w:val="auto"/>
          <w:lang w:val="mn-MN"/>
        </w:rPr>
        <w:t xml:space="preserve"> журмаар тогтоосон шаардлагыг хангасан эсэхийг Санхүүг</w:t>
      </w:r>
      <w:r w:rsidR="003E098E" w:rsidRPr="00990BBC">
        <w:rPr>
          <w:noProof/>
          <w:color w:val="auto"/>
          <w:lang w:val="mn-MN"/>
        </w:rPr>
        <w:t>ийн зохицуулах хороо шалга</w:t>
      </w:r>
      <w:r w:rsidR="003C6771" w:rsidRPr="00990BBC">
        <w:rPr>
          <w:noProof/>
          <w:color w:val="auto"/>
          <w:lang w:val="mn-MN"/>
        </w:rPr>
        <w:t>н</w:t>
      </w:r>
      <w:r w:rsidR="00FD0663" w:rsidRPr="00990BBC">
        <w:rPr>
          <w:noProof/>
          <w:color w:val="auto"/>
          <w:lang w:val="mn-MN"/>
        </w:rPr>
        <w:t xml:space="preserve">, </w:t>
      </w:r>
      <w:r w:rsidR="003E098E" w:rsidRPr="003C6771">
        <w:rPr>
          <w:noProof/>
          <w:color w:val="auto"/>
          <w:lang w:val="mn-MN"/>
        </w:rPr>
        <w:t>активын ангиллыг өөрчилж, дутуу байгуулсан эрсдэлийн санг нэмж байгуулах арга хэмжээг тухай бүр авна.</w:t>
      </w:r>
    </w:p>
    <w:p w14:paraId="06F9B7A1" w14:textId="6941651B" w:rsidR="00EA7EDA" w:rsidRPr="00990BBC" w:rsidRDefault="00EA7EDA" w:rsidP="00EA7EDA">
      <w:pPr>
        <w:pStyle w:val="Default"/>
        <w:widowControl w:val="0"/>
        <w:numPr>
          <w:ilvl w:val="1"/>
          <w:numId w:val="1"/>
        </w:numPr>
        <w:tabs>
          <w:tab w:val="left" w:pos="1134"/>
        </w:tabs>
        <w:spacing w:before="120" w:after="120" w:line="360" w:lineRule="auto"/>
        <w:ind w:left="0" w:firstLine="567"/>
        <w:jc w:val="both"/>
        <w:rPr>
          <w:noProof/>
          <w:color w:val="auto"/>
          <w:lang w:val="mn-MN"/>
        </w:rPr>
      </w:pPr>
      <w:r w:rsidRPr="00990BBC">
        <w:rPr>
          <w:noProof/>
          <w:color w:val="auto"/>
          <w:lang w:val="mn-MN"/>
        </w:rPr>
        <w:t xml:space="preserve">Эрсдэлийн санг зориулалтын бусаар зарцуулахыг хориглоно. </w:t>
      </w:r>
    </w:p>
    <w:p w14:paraId="0CD0BDB0" w14:textId="0524FC3B" w:rsidR="003C6771" w:rsidRPr="00990BBC" w:rsidRDefault="003C6771" w:rsidP="00990BBC">
      <w:pPr>
        <w:pStyle w:val="Default"/>
        <w:widowControl w:val="0"/>
        <w:numPr>
          <w:ilvl w:val="1"/>
          <w:numId w:val="1"/>
        </w:numPr>
        <w:tabs>
          <w:tab w:val="left" w:pos="1134"/>
        </w:tabs>
        <w:spacing w:before="120" w:after="120" w:line="360" w:lineRule="auto"/>
        <w:ind w:left="0" w:firstLine="567"/>
        <w:jc w:val="both"/>
        <w:rPr>
          <w:noProof/>
          <w:color w:val="auto"/>
          <w:lang w:val="mn-MN"/>
        </w:rPr>
      </w:pPr>
      <w:r w:rsidRPr="00990BBC">
        <w:rPr>
          <w:noProof/>
          <w:color w:val="auto"/>
          <w:lang w:val="mn-MN"/>
        </w:rPr>
        <w:t xml:space="preserve">Энхүү журамд зээл, факторинг, үнэт цаас, өмчлөх бусад хөрөнгө, авлага хэлбэрээр үүссэн хөрөнгө </w:t>
      </w:r>
      <w:r w:rsidR="00990BBC" w:rsidRPr="00990BBC">
        <w:rPr>
          <w:noProof/>
          <w:color w:val="auto"/>
          <w:lang w:val="mn-MN"/>
        </w:rPr>
        <w:t xml:space="preserve">буюу актив, </w:t>
      </w:r>
      <w:r w:rsidRPr="00990BBC">
        <w:rPr>
          <w:noProof/>
          <w:color w:val="auto"/>
          <w:lang w:val="mn-MN"/>
        </w:rPr>
        <w:t xml:space="preserve"> активыг ББСБ-д төлж бара</w:t>
      </w:r>
      <w:r w:rsidR="00990BBC" w:rsidRPr="00990BBC">
        <w:rPr>
          <w:noProof/>
          <w:color w:val="auto"/>
          <w:lang w:val="mn-MN"/>
        </w:rPr>
        <w:t>гдуулах үүрэг хүлээсэн этгээд буюу төлбөр хариуцагч байна.</w:t>
      </w:r>
    </w:p>
    <w:p w14:paraId="6C0D95E8" w14:textId="77777777" w:rsidR="00EA7EDA" w:rsidRPr="003338AD" w:rsidRDefault="00EA7EDA" w:rsidP="00EA7EDA">
      <w:pPr>
        <w:pStyle w:val="Heading1"/>
        <w:rPr>
          <w:noProof/>
          <w:lang w:val="mn-MN"/>
        </w:rPr>
      </w:pPr>
      <w:r w:rsidRPr="00EA7EDA">
        <w:rPr>
          <w:noProof/>
          <w:lang w:val="mn-MN"/>
        </w:rPr>
        <w:t>Хоёр. Активыг ангилах, ангилал буурсан активын ангилалыг дээшлүүлэх</w:t>
      </w:r>
    </w:p>
    <w:p w14:paraId="603CD1DA" w14:textId="4DF4CD34" w:rsidR="00EA7EDA" w:rsidRPr="00EA7EDA" w:rsidRDefault="00EA7EDA" w:rsidP="00EA7EDA">
      <w:pPr>
        <w:pStyle w:val="Default"/>
        <w:widowControl w:val="0"/>
        <w:numPr>
          <w:ilvl w:val="1"/>
          <w:numId w:val="2"/>
        </w:numPr>
        <w:tabs>
          <w:tab w:val="left" w:pos="0"/>
          <w:tab w:val="left" w:pos="540"/>
          <w:tab w:val="left" w:pos="720"/>
          <w:tab w:val="left" w:pos="1134"/>
          <w:tab w:val="left" w:pos="1170"/>
        </w:tabs>
        <w:spacing w:before="120" w:after="120" w:line="360" w:lineRule="auto"/>
        <w:ind w:left="0" w:firstLine="567"/>
        <w:jc w:val="both"/>
        <w:rPr>
          <w:noProof/>
          <w:color w:val="auto"/>
          <w:lang w:val="mn-MN"/>
        </w:rPr>
      </w:pPr>
      <w:r w:rsidRPr="00EA7EDA">
        <w:rPr>
          <w:color w:val="auto"/>
          <w:lang w:val="mn-MN"/>
        </w:rPr>
        <w:lastRenderedPageBreak/>
        <w:t>ББСБ нь активыг дор дур</w:t>
      </w:r>
      <w:r w:rsidR="003B54B2">
        <w:rPr>
          <w:color w:val="auto"/>
          <w:lang w:val="mn-MN"/>
        </w:rPr>
        <w:t>дсан байдлаар тухай бүр ангилна</w:t>
      </w:r>
      <w:r w:rsidR="003B54B2" w:rsidRPr="00532519">
        <w:rPr>
          <w:color w:val="auto"/>
          <w:lang w:val="mn-MN"/>
        </w:rPr>
        <w:t>:</w:t>
      </w:r>
    </w:p>
    <w:p w14:paraId="184B79AE" w14:textId="77777777" w:rsidR="00EA7EDA" w:rsidRPr="00EA7EDA" w:rsidRDefault="00EA7EDA" w:rsidP="00EA7EDA">
      <w:pPr>
        <w:pStyle w:val="Default"/>
        <w:widowControl w:val="0"/>
        <w:numPr>
          <w:ilvl w:val="2"/>
          <w:numId w:val="2"/>
        </w:numPr>
        <w:tabs>
          <w:tab w:val="left" w:pos="0"/>
          <w:tab w:val="left" w:pos="540"/>
          <w:tab w:val="left" w:pos="720"/>
          <w:tab w:val="left" w:pos="1170"/>
        </w:tabs>
        <w:spacing w:before="120" w:after="120" w:line="360" w:lineRule="auto"/>
        <w:ind w:left="0" w:firstLine="1276"/>
        <w:jc w:val="both"/>
        <w:rPr>
          <w:noProof/>
          <w:color w:val="auto"/>
          <w:lang w:val="mn-MN"/>
        </w:rPr>
      </w:pPr>
      <w:r w:rsidRPr="00EA7EDA">
        <w:rPr>
          <w:noProof/>
          <w:color w:val="auto"/>
          <w:lang w:val="mn-MN"/>
        </w:rPr>
        <w:t xml:space="preserve">Хэвийн; </w:t>
      </w:r>
    </w:p>
    <w:p w14:paraId="2287C7C1" w14:textId="2ACB8BA8" w:rsidR="00EA7EDA" w:rsidRPr="003E5893" w:rsidRDefault="00EA7EDA" w:rsidP="00EA7EDA">
      <w:pPr>
        <w:pStyle w:val="Default"/>
        <w:widowControl w:val="0"/>
        <w:numPr>
          <w:ilvl w:val="2"/>
          <w:numId w:val="2"/>
        </w:numPr>
        <w:tabs>
          <w:tab w:val="left" w:pos="0"/>
          <w:tab w:val="left" w:pos="540"/>
          <w:tab w:val="left" w:pos="720"/>
          <w:tab w:val="left" w:pos="1170"/>
        </w:tabs>
        <w:spacing w:before="120" w:after="120" w:line="360" w:lineRule="auto"/>
        <w:ind w:left="0" w:firstLine="1276"/>
        <w:jc w:val="both"/>
        <w:rPr>
          <w:noProof/>
          <w:color w:val="FF0000"/>
          <w:lang w:val="mn-MN"/>
        </w:rPr>
      </w:pPr>
      <w:r w:rsidRPr="00FD0663">
        <w:rPr>
          <w:noProof/>
          <w:color w:val="auto"/>
          <w:lang w:val="mn-MN"/>
        </w:rPr>
        <w:t xml:space="preserve">Анхаарал хандуулах; </w:t>
      </w:r>
    </w:p>
    <w:p w14:paraId="4E06EBCA" w14:textId="77777777" w:rsidR="00EA7EDA" w:rsidRPr="00EA7EDA" w:rsidRDefault="00EA7EDA" w:rsidP="00EA7EDA">
      <w:pPr>
        <w:pStyle w:val="Default"/>
        <w:widowControl w:val="0"/>
        <w:numPr>
          <w:ilvl w:val="2"/>
          <w:numId w:val="2"/>
        </w:numPr>
        <w:tabs>
          <w:tab w:val="left" w:pos="0"/>
          <w:tab w:val="left" w:pos="540"/>
          <w:tab w:val="left" w:pos="720"/>
          <w:tab w:val="left" w:pos="1170"/>
        </w:tabs>
        <w:spacing w:before="120" w:after="120" w:line="360" w:lineRule="auto"/>
        <w:ind w:left="0" w:firstLine="1276"/>
        <w:jc w:val="both"/>
        <w:rPr>
          <w:noProof/>
          <w:color w:val="auto"/>
          <w:lang w:val="mn-MN"/>
        </w:rPr>
      </w:pPr>
      <w:r w:rsidRPr="00EA7EDA">
        <w:rPr>
          <w:noProof/>
          <w:color w:val="auto"/>
          <w:lang w:val="mn-MN"/>
        </w:rPr>
        <w:t>Чанаргүй, үүнээс:</w:t>
      </w:r>
    </w:p>
    <w:p w14:paraId="7A907274" w14:textId="77777777" w:rsidR="00EA7EDA" w:rsidRPr="00EA7EDA" w:rsidRDefault="00EA7EDA" w:rsidP="00EA7EDA">
      <w:pPr>
        <w:pStyle w:val="Default"/>
        <w:widowControl w:val="0"/>
        <w:tabs>
          <w:tab w:val="left" w:pos="0"/>
          <w:tab w:val="left" w:pos="567"/>
          <w:tab w:val="left" w:pos="720"/>
          <w:tab w:val="left" w:pos="1134"/>
          <w:tab w:val="left" w:pos="1170"/>
        </w:tabs>
        <w:spacing w:before="120" w:after="120" w:line="360" w:lineRule="auto"/>
        <w:ind w:firstLine="1701"/>
        <w:jc w:val="both"/>
        <w:rPr>
          <w:noProof/>
          <w:color w:val="auto"/>
          <w:lang w:val="mn-MN"/>
        </w:rPr>
      </w:pPr>
      <w:r w:rsidRPr="00EA7EDA">
        <w:rPr>
          <w:noProof/>
          <w:color w:val="auto"/>
          <w:lang w:val="mn-MN"/>
        </w:rPr>
        <w:t>2.1.3.а хэвийн бус;</w:t>
      </w:r>
    </w:p>
    <w:p w14:paraId="1283D6B0" w14:textId="77777777" w:rsidR="00EA7EDA" w:rsidRPr="00EA7EDA" w:rsidRDefault="00EA7EDA" w:rsidP="00EA7EDA">
      <w:pPr>
        <w:pStyle w:val="Default"/>
        <w:tabs>
          <w:tab w:val="left" w:pos="0"/>
          <w:tab w:val="left" w:pos="567"/>
          <w:tab w:val="left" w:pos="1134"/>
        </w:tabs>
        <w:spacing w:before="120" w:after="120" w:line="360" w:lineRule="auto"/>
        <w:ind w:firstLine="1701"/>
        <w:jc w:val="both"/>
        <w:rPr>
          <w:noProof/>
          <w:color w:val="auto"/>
          <w:lang w:val="mn-MN"/>
        </w:rPr>
      </w:pPr>
      <w:r w:rsidRPr="00EA7EDA">
        <w:rPr>
          <w:noProof/>
          <w:color w:val="auto"/>
          <w:lang w:val="mn-MN"/>
        </w:rPr>
        <w:t>2.1.3.б эргэлзээтэй;</w:t>
      </w:r>
    </w:p>
    <w:p w14:paraId="66CFCBDE" w14:textId="77777777" w:rsidR="00EA7EDA" w:rsidRPr="00EA7EDA" w:rsidRDefault="00EA7EDA" w:rsidP="00EA7EDA">
      <w:pPr>
        <w:pStyle w:val="Default"/>
        <w:tabs>
          <w:tab w:val="left" w:pos="0"/>
          <w:tab w:val="left" w:pos="567"/>
          <w:tab w:val="left" w:pos="1134"/>
        </w:tabs>
        <w:spacing w:before="120" w:after="120" w:line="360" w:lineRule="auto"/>
        <w:ind w:firstLine="1701"/>
        <w:jc w:val="both"/>
        <w:rPr>
          <w:noProof/>
          <w:color w:val="auto"/>
          <w:lang w:val="mn-MN"/>
        </w:rPr>
      </w:pPr>
      <w:r w:rsidRPr="00EA7EDA">
        <w:rPr>
          <w:noProof/>
          <w:color w:val="auto"/>
          <w:lang w:val="mn-MN"/>
        </w:rPr>
        <w:t>2.1.3.в муу.</w:t>
      </w:r>
    </w:p>
    <w:p w14:paraId="4CCCEAC0" w14:textId="5DB969B2" w:rsidR="00EA7EDA" w:rsidRPr="00990BBC" w:rsidRDefault="00EA7EDA" w:rsidP="00990BBC">
      <w:pPr>
        <w:pStyle w:val="Default"/>
        <w:widowControl w:val="0"/>
        <w:numPr>
          <w:ilvl w:val="1"/>
          <w:numId w:val="2"/>
        </w:numPr>
        <w:tabs>
          <w:tab w:val="left" w:pos="0"/>
          <w:tab w:val="left" w:pos="540"/>
          <w:tab w:val="left" w:pos="720"/>
          <w:tab w:val="left" w:pos="1134"/>
          <w:tab w:val="left" w:pos="1170"/>
        </w:tabs>
        <w:spacing w:before="120" w:after="120" w:line="360" w:lineRule="auto"/>
        <w:ind w:left="0" w:firstLine="567"/>
        <w:jc w:val="both"/>
        <w:rPr>
          <w:noProof/>
          <w:color w:val="auto"/>
          <w:lang w:val="mn-MN"/>
        </w:rPr>
      </w:pPr>
      <w:r w:rsidRPr="00EA7EDA">
        <w:rPr>
          <w:noProof/>
          <w:color w:val="auto"/>
          <w:lang w:val="mn-MN"/>
        </w:rPr>
        <w:t xml:space="preserve">Төлбөр хариуцагчийн төлбөрийн чадвар алдагдсан, дампуурсан үед барьцаанд тавьсан эд хөрөнгийн тухайн үеийн үнэлгээ нь активын үндсэн өр болон хүүгийн 75-аас доошгүй хувийг төлж барагдуулахад хангалттай тохиолдолд эргэлзээтэй ангилалд, </w:t>
      </w:r>
      <w:r w:rsidRPr="00990BBC">
        <w:rPr>
          <w:noProof/>
          <w:color w:val="auto"/>
          <w:lang w:val="mn-MN"/>
        </w:rPr>
        <w:t>хангалтгүй тохиолдолд муу ангилалд хугацаа харгалзалгүй ангилна.</w:t>
      </w:r>
    </w:p>
    <w:p w14:paraId="2D18BE50" w14:textId="148D6477" w:rsidR="00FD0663" w:rsidRPr="00990BBC" w:rsidRDefault="00FD0663" w:rsidP="00990BBC">
      <w:pPr>
        <w:pStyle w:val="Default"/>
        <w:widowControl w:val="0"/>
        <w:numPr>
          <w:ilvl w:val="1"/>
          <w:numId w:val="2"/>
        </w:numPr>
        <w:tabs>
          <w:tab w:val="left" w:pos="0"/>
          <w:tab w:val="left" w:pos="540"/>
          <w:tab w:val="left" w:pos="720"/>
          <w:tab w:val="left" w:pos="1134"/>
          <w:tab w:val="left" w:pos="1170"/>
        </w:tabs>
        <w:spacing w:before="120" w:after="120" w:line="360" w:lineRule="auto"/>
        <w:ind w:left="0" w:firstLine="567"/>
        <w:jc w:val="both"/>
        <w:rPr>
          <w:noProof/>
          <w:color w:val="auto"/>
          <w:lang w:val="mn-MN"/>
        </w:rPr>
      </w:pPr>
      <w:r w:rsidRPr="00990BBC">
        <w:rPr>
          <w:noProof/>
          <w:color w:val="auto"/>
          <w:lang w:val="mn-MN"/>
        </w:rPr>
        <w:t>ББСБ</w:t>
      </w:r>
      <w:r w:rsidR="009223CF" w:rsidRPr="00990BBC">
        <w:rPr>
          <w:noProof/>
          <w:color w:val="auto"/>
          <w:lang w:val="mn-MN"/>
        </w:rPr>
        <w:t xml:space="preserve"> нь</w:t>
      </w:r>
      <w:r w:rsidRPr="00990BBC">
        <w:rPr>
          <w:noProof/>
          <w:color w:val="auto"/>
          <w:lang w:val="mn-MN"/>
        </w:rPr>
        <w:t xml:space="preserve"> </w:t>
      </w:r>
      <w:r w:rsidR="009223CF" w:rsidRPr="00990BBC">
        <w:rPr>
          <w:noProof/>
          <w:color w:val="auto"/>
          <w:lang w:val="mn-MN"/>
        </w:rPr>
        <w:t>төлбөр хариуцагч</w:t>
      </w:r>
      <w:r w:rsidR="00E14060" w:rsidRPr="00990BBC">
        <w:rPr>
          <w:noProof/>
          <w:color w:val="auto"/>
          <w:lang w:val="mn-MN"/>
        </w:rPr>
        <w:t>аас</w:t>
      </w:r>
      <w:r w:rsidR="009223CF" w:rsidRPr="00990BBC">
        <w:rPr>
          <w:noProof/>
          <w:color w:val="auto"/>
          <w:lang w:val="mn-MN"/>
        </w:rPr>
        <w:t xml:space="preserve"> зээл</w:t>
      </w:r>
      <w:r w:rsidR="00E14060" w:rsidRPr="00990BBC">
        <w:rPr>
          <w:noProof/>
          <w:color w:val="auto"/>
          <w:lang w:val="mn-MN"/>
        </w:rPr>
        <w:t>ийг</w:t>
      </w:r>
      <w:r w:rsidR="009223CF" w:rsidRPr="00990BBC">
        <w:rPr>
          <w:noProof/>
          <w:color w:val="auto"/>
          <w:lang w:val="mn-MN"/>
        </w:rPr>
        <w:t xml:space="preserve"> </w:t>
      </w:r>
      <w:r w:rsidRPr="00990BBC">
        <w:rPr>
          <w:noProof/>
          <w:color w:val="auto"/>
          <w:lang w:val="mn-MN"/>
        </w:rPr>
        <w:t>хугацаа хэтэрсэн өдрөөс хойш</w:t>
      </w:r>
      <w:r w:rsidR="009223CF" w:rsidRPr="00990BBC">
        <w:rPr>
          <w:noProof/>
          <w:color w:val="auto"/>
          <w:lang w:val="mn-MN"/>
        </w:rPr>
        <w:t xml:space="preserve"> 30 хүртэл хоногт багтаан эргэн төлөх боломжтой гэж дүгнэсэн тохиолдолд тухайн зээлийг хэвийн ангилалд бүртгэж болно. Эргэн төлөлт нь </w:t>
      </w:r>
      <w:r w:rsidR="00E14060" w:rsidRPr="00990BBC">
        <w:rPr>
          <w:noProof/>
          <w:color w:val="auto"/>
          <w:lang w:val="mn-MN"/>
        </w:rPr>
        <w:t>дээр заасан</w:t>
      </w:r>
      <w:r w:rsidR="009223CF" w:rsidRPr="00990BBC">
        <w:rPr>
          <w:noProof/>
          <w:color w:val="auto"/>
          <w:lang w:val="mn-MN"/>
        </w:rPr>
        <w:t xml:space="preserve"> хоногоос хэтрэх </w:t>
      </w:r>
      <w:r w:rsidRPr="00990BBC">
        <w:rPr>
          <w:noProof/>
          <w:color w:val="auto"/>
          <w:lang w:val="mn-MN"/>
        </w:rPr>
        <w:t xml:space="preserve"> </w:t>
      </w:r>
      <w:r w:rsidR="009223CF" w:rsidRPr="00990BBC">
        <w:rPr>
          <w:noProof/>
          <w:color w:val="auto"/>
          <w:lang w:val="mn-MN"/>
        </w:rPr>
        <w:t>тохиолдолд тус зээлийг энэ журамд заасны дагуу ангилал бууруулан тогтооно.</w:t>
      </w:r>
    </w:p>
    <w:p w14:paraId="5225F3AA" w14:textId="4F1A9592" w:rsidR="00EA7EDA" w:rsidRPr="00EA7EDA" w:rsidRDefault="00FD0222" w:rsidP="00EA7EDA">
      <w:pPr>
        <w:pStyle w:val="Default"/>
        <w:widowControl w:val="0"/>
        <w:numPr>
          <w:ilvl w:val="1"/>
          <w:numId w:val="2"/>
        </w:numPr>
        <w:tabs>
          <w:tab w:val="left" w:pos="0"/>
          <w:tab w:val="left" w:pos="540"/>
          <w:tab w:val="left" w:pos="720"/>
          <w:tab w:val="left" w:pos="1134"/>
          <w:tab w:val="left" w:pos="1170"/>
        </w:tabs>
        <w:spacing w:before="120" w:after="120" w:line="360" w:lineRule="auto"/>
        <w:ind w:left="0" w:firstLine="567"/>
        <w:jc w:val="both"/>
        <w:rPr>
          <w:noProof/>
          <w:color w:val="auto"/>
          <w:lang w:val="mn-MN"/>
        </w:rPr>
      </w:pPr>
      <w:r w:rsidRPr="00532519">
        <w:rPr>
          <w:noProof/>
          <w:color w:val="auto"/>
          <w:lang w:val="mn-MN"/>
        </w:rPr>
        <w:t>Г</w:t>
      </w:r>
      <w:r w:rsidR="00EA7EDA" w:rsidRPr="00532519">
        <w:rPr>
          <w:noProof/>
          <w:color w:val="auto"/>
          <w:lang w:val="mn-MN"/>
        </w:rPr>
        <w:t>эмт хэргийн шинж чанартай үйлдлээс үүссэн байж болзошгүй</w:t>
      </w:r>
      <w:r w:rsidRPr="00532519">
        <w:rPr>
          <w:noProof/>
          <w:color w:val="auto"/>
          <w:lang w:val="mn-MN"/>
        </w:rPr>
        <w:t xml:space="preserve"> </w:t>
      </w:r>
      <w:r w:rsidR="00EA7EDA" w:rsidRPr="00532519">
        <w:rPr>
          <w:noProof/>
          <w:color w:val="auto"/>
          <w:lang w:val="mn-MN"/>
        </w:rPr>
        <w:t>шалтгаанаар</w:t>
      </w:r>
      <w:r w:rsidRPr="00532519">
        <w:rPr>
          <w:noProof/>
          <w:color w:val="auto"/>
          <w:lang w:val="mn-MN"/>
        </w:rPr>
        <w:t xml:space="preserve"> төрийн эрх бүхий байгууллагад</w:t>
      </w:r>
      <w:r w:rsidR="00EA7EDA" w:rsidRPr="00532519">
        <w:rPr>
          <w:noProof/>
          <w:color w:val="auto"/>
          <w:lang w:val="mn-MN"/>
        </w:rPr>
        <w:t xml:space="preserve"> шалгагдаж байгаа активт</w:t>
      </w:r>
      <w:r w:rsidR="00EA7EDA" w:rsidRPr="00EA7EDA">
        <w:rPr>
          <w:noProof/>
          <w:color w:val="auto"/>
          <w:lang w:val="mn-MN"/>
        </w:rPr>
        <w:t xml:space="preserve"> 100 хувь эрсдэлийн сан байгуулна.</w:t>
      </w:r>
    </w:p>
    <w:p w14:paraId="1501AB16" w14:textId="068CE9CD" w:rsidR="00EA7EDA" w:rsidRPr="00EA7EDA" w:rsidRDefault="003B54B2" w:rsidP="00EA7EDA">
      <w:pPr>
        <w:pStyle w:val="Default"/>
        <w:widowControl w:val="0"/>
        <w:numPr>
          <w:ilvl w:val="1"/>
          <w:numId w:val="2"/>
        </w:numPr>
        <w:tabs>
          <w:tab w:val="left" w:pos="0"/>
          <w:tab w:val="left" w:pos="540"/>
          <w:tab w:val="left" w:pos="720"/>
          <w:tab w:val="left" w:pos="1134"/>
          <w:tab w:val="left" w:pos="1170"/>
        </w:tabs>
        <w:spacing w:before="120" w:after="120" w:line="360" w:lineRule="auto"/>
        <w:ind w:left="0" w:firstLine="567"/>
        <w:jc w:val="both"/>
        <w:rPr>
          <w:noProof/>
          <w:color w:val="auto"/>
          <w:lang w:val="mn-MN"/>
        </w:rPr>
      </w:pPr>
      <w:r>
        <w:rPr>
          <w:noProof/>
          <w:color w:val="auto"/>
          <w:lang w:val="mn-MN"/>
        </w:rPr>
        <w:t>Активын гэрээний хугацааг нэг</w:t>
      </w:r>
      <w:r w:rsidR="00EA7EDA" w:rsidRPr="00EA7EDA">
        <w:rPr>
          <w:noProof/>
          <w:color w:val="auto"/>
          <w:lang w:val="mn-MN"/>
        </w:rPr>
        <w:t xml:space="preserve"> удаа сунгасан бол ангиллыг хэвээр хадгална, харин </w:t>
      </w:r>
      <w:r w:rsidR="00FD0222">
        <w:rPr>
          <w:bCs/>
          <w:noProof/>
          <w:color w:val="auto"/>
          <w:lang w:val="mn-MN"/>
        </w:rPr>
        <w:t>хоёр</w:t>
      </w:r>
      <w:r w:rsidR="00EA7EDA" w:rsidRPr="00EA7EDA">
        <w:rPr>
          <w:bCs/>
          <w:noProof/>
          <w:color w:val="auto"/>
          <w:lang w:val="mn-MN"/>
        </w:rPr>
        <w:t xml:space="preserve"> болон түүнээс дээш сунгасан бол өмнөх ангиллаас нэг шатлалаар бууруулна.</w:t>
      </w:r>
    </w:p>
    <w:p w14:paraId="7C0D14CD" w14:textId="6EA3B5E8" w:rsidR="00EA7EDA" w:rsidRPr="00EA7EDA" w:rsidRDefault="00EA7EDA" w:rsidP="003338AD">
      <w:pPr>
        <w:pStyle w:val="Default"/>
        <w:widowControl w:val="0"/>
        <w:numPr>
          <w:ilvl w:val="1"/>
          <w:numId w:val="2"/>
        </w:numPr>
        <w:tabs>
          <w:tab w:val="left" w:pos="0"/>
          <w:tab w:val="left" w:pos="540"/>
          <w:tab w:val="left" w:pos="720"/>
          <w:tab w:val="left" w:pos="1134"/>
          <w:tab w:val="left" w:pos="1170"/>
        </w:tabs>
        <w:spacing w:before="120" w:after="120" w:line="360" w:lineRule="auto"/>
        <w:ind w:left="0" w:firstLine="567"/>
        <w:jc w:val="both"/>
        <w:rPr>
          <w:noProof/>
          <w:color w:val="auto"/>
          <w:lang w:val="mn-MN"/>
        </w:rPr>
      </w:pPr>
      <w:r w:rsidRPr="00EA7EDA">
        <w:rPr>
          <w:noProof/>
          <w:color w:val="auto"/>
          <w:lang w:val="mn-MN"/>
        </w:rPr>
        <w:t>Төлбөр хариуцагчийн санхүүгийн чадвар муудсан болон анхны гэрээ, хэлцлийн дагуу төлбөр хийх чадваргүй болсноос шалтгаалан актив төлөгдөх хугацааг сунгасан, ББСБ-аас төлбөри</w:t>
      </w:r>
      <w:r w:rsidR="00FD0222">
        <w:rPr>
          <w:noProof/>
          <w:color w:val="auto"/>
          <w:lang w:val="mn-MN"/>
        </w:rPr>
        <w:t>йг нь төлүүлэхээр төрийн эрх бүхий</w:t>
      </w:r>
      <w:r w:rsidRPr="00EA7EDA">
        <w:rPr>
          <w:noProof/>
          <w:color w:val="auto"/>
          <w:lang w:val="mn-MN"/>
        </w:rPr>
        <w:t xml:space="preserve"> байгууллагад нэхэмжлэл гаргасан байгаа активт энэ журмын 2.4 дэх хэсэг хамаарахгүй.</w:t>
      </w:r>
    </w:p>
    <w:p w14:paraId="1CE3E3F3" w14:textId="77777777" w:rsidR="00EA7EDA" w:rsidRPr="00EA7EDA" w:rsidRDefault="00EA7EDA" w:rsidP="00EA7EDA">
      <w:pPr>
        <w:pStyle w:val="Default"/>
        <w:widowControl w:val="0"/>
        <w:numPr>
          <w:ilvl w:val="1"/>
          <w:numId w:val="2"/>
        </w:numPr>
        <w:tabs>
          <w:tab w:val="left" w:pos="0"/>
          <w:tab w:val="left" w:pos="540"/>
          <w:tab w:val="left" w:pos="720"/>
          <w:tab w:val="left" w:pos="1134"/>
          <w:tab w:val="left" w:pos="1170"/>
        </w:tabs>
        <w:spacing w:before="120" w:after="120" w:line="360" w:lineRule="auto"/>
        <w:ind w:left="0" w:firstLine="567"/>
        <w:jc w:val="both"/>
        <w:rPr>
          <w:noProof/>
          <w:color w:val="auto"/>
          <w:lang w:val="mn-MN"/>
        </w:rPr>
      </w:pPr>
      <w:r w:rsidRPr="00EA7EDA">
        <w:rPr>
          <w:noProof/>
          <w:color w:val="auto"/>
          <w:lang w:val="mn-MN"/>
        </w:rPr>
        <w:t>ББСБ нь Монголбанкны Зээлийн мэдээллийн санд ирүүлэх зээлдэгчийн талаарх мэдээлэлдээ тухайн активын ангилал, түүний өөрчлөлтийг журмын дагуу үнэн зөв тусгасан байна.</w:t>
      </w:r>
    </w:p>
    <w:p w14:paraId="6DACB545" w14:textId="644EBA1D" w:rsidR="00EA7EDA" w:rsidRPr="00990BBC" w:rsidRDefault="008E180A" w:rsidP="00990BBC">
      <w:pPr>
        <w:pStyle w:val="Default"/>
        <w:widowControl w:val="0"/>
        <w:tabs>
          <w:tab w:val="left" w:pos="0"/>
          <w:tab w:val="left" w:pos="540"/>
          <w:tab w:val="left" w:pos="720"/>
          <w:tab w:val="left" w:pos="1134"/>
          <w:tab w:val="left" w:pos="1170"/>
        </w:tabs>
        <w:spacing w:before="120" w:after="120" w:line="360" w:lineRule="auto"/>
        <w:jc w:val="both"/>
        <w:rPr>
          <w:noProof/>
          <w:color w:val="auto"/>
          <w:lang w:val="mn-MN"/>
        </w:rPr>
      </w:pPr>
      <w:r>
        <w:rPr>
          <w:noProof/>
          <w:color w:val="auto"/>
          <w:lang w:val="mn-MN"/>
        </w:rPr>
        <w:tab/>
      </w:r>
      <w:r w:rsidRPr="00990BBC">
        <w:rPr>
          <w:noProof/>
          <w:color w:val="auto"/>
          <w:lang w:val="mn-MN"/>
        </w:rPr>
        <w:t xml:space="preserve">2.8  ББСБ нь энэхүү журмын 2.1.2, 2.1.3-т заасан активын ангилалыг дараах нөхцөлүүд зэрэг бүрдсэн  тохиолдолд </w:t>
      </w:r>
      <w:r w:rsidR="00EA7EDA" w:rsidRPr="00990BBC">
        <w:rPr>
          <w:noProof/>
          <w:color w:val="auto"/>
          <w:lang w:val="mn-MN"/>
        </w:rPr>
        <w:t>активын ангиллыг дээшлүүл</w:t>
      </w:r>
      <w:r w:rsidRPr="00990BBC">
        <w:rPr>
          <w:noProof/>
          <w:color w:val="auto"/>
          <w:lang w:val="mn-MN"/>
        </w:rPr>
        <w:t>ж хэвийн ангилал хүртэл нэмэгдүүлж болно:</w:t>
      </w:r>
    </w:p>
    <w:p w14:paraId="108659F6" w14:textId="1A57FF1C" w:rsidR="00EA7EDA" w:rsidRPr="00990BBC" w:rsidRDefault="00EA7EDA" w:rsidP="00990BBC">
      <w:pPr>
        <w:pStyle w:val="Default"/>
        <w:widowControl w:val="0"/>
        <w:tabs>
          <w:tab w:val="left" w:pos="0"/>
          <w:tab w:val="left" w:pos="540"/>
          <w:tab w:val="left" w:pos="720"/>
          <w:tab w:val="left" w:pos="1134"/>
          <w:tab w:val="left" w:pos="1170"/>
        </w:tabs>
        <w:spacing w:before="120" w:after="120" w:line="360" w:lineRule="auto"/>
        <w:ind w:firstLine="1701"/>
        <w:jc w:val="both"/>
        <w:rPr>
          <w:noProof/>
          <w:color w:val="auto"/>
          <w:lang w:val="mn-MN"/>
        </w:rPr>
      </w:pPr>
      <w:r w:rsidRPr="00990BBC">
        <w:rPr>
          <w:noProof/>
          <w:color w:val="auto"/>
          <w:lang w:val="mn-MN"/>
        </w:rPr>
        <w:t>2.</w:t>
      </w:r>
      <w:r w:rsidR="006D5214" w:rsidRPr="00990BBC">
        <w:rPr>
          <w:noProof/>
          <w:color w:val="auto"/>
          <w:lang w:val="mn-MN"/>
        </w:rPr>
        <w:t>8.</w:t>
      </w:r>
      <w:r w:rsidRPr="00990BBC">
        <w:rPr>
          <w:noProof/>
          <w:color w:val="auto"/>
          <w:lang w:val="mn-MN"/>
        </w:rPr>
        <w:t>1.</w:t>
      </w:r>
      <w:r w:rsidR="008E180A" w:rsidRPr="00990BBC">
        <w:rPr>
          <w:noProof/>
          <w:color w:val="auto"/>
          <w:lang w:val="mn-MN"/>
        </w:rPr>
        <w:t xml:space="preserve"> </w:t>
      </w:r>
      <w:r w:rsidRPr="00990BBC">
        <w:rPr>
          <w:noProof/>
          <w:color w:val="auto"/>
          <w:lang w:val="mn-MN"/>
        </w:rPr>
        <w:t>төлбөр хариуцагч нь 90-ээс дээш хоног хэтэрсэн хугацаа хэтэрсэн төлбөргүй;</w:t>
      </w:r>
    </w:p>
    <w:p w14:paraId="0D35E360" w14:textId="5D7B0D9E" w:rsidR="00EA7EDA" w:rsidRPr="00990BBC" w:rsidRDefault="00EA7EDA" w:rsidP="00990BBC">
      <w:pPr>
        <w:pStyle w:val="Default"/>
        <w:widowControl w:val="0"/>
        <w:tabs>
          <w:tab w:val="left" w:pos="0"/>
          <w:tab w:val="left" w:pos="540"/>
          <w:tab w:val="left" w:pos="720"/>
          <w:tab w:val="left" w:pos="1134"/>
          <w:tab w:val="left" w:pos="1170"/>
        </w:tabs>
        <w:spacing w:before="120" w:after="120" w:line="360" w:lineRule="auto"/>
        <w:ind w:firstLine="1701"/>
        <w:jc w:val="both"/>
        <w:rPr>
          <w:noProof/>
          <w:color w:val="auto"/>
          <w:lang w:val="mn-MN"/>
        </w:rPr>
      </w:pPr>
      <w:r w:rsidRPr="00990BBC">
        <w:rPr>
          <w:noProof/>
          <w:color w:val="auto"/>
          <w:lang w:val="mn-MN"/>
        </w:rPr>
        <w:lastRenderedPageBreak/>
        <w:t>2.</w:t>
      </w:r>
      <w:r w:rsidR="006D5214" w:rsidRPr="00990BBC">
        <w:rPr>
          <w:noProof/>
          <w:color w:val="auto"/>
          <w:lang w:val="mn-MN"/>
        </w:rPr>
        <w:t>8.2.</w:t>
      </w:r>
      <w:r w:rsidRPr="00990BBC">
        <w:rPr>
          <w:noProof/>
          <w:color w:val="auto"/>
          <w:lang w:val="mn-MN"/>
        </w:rPr>
        <w:t xml:space="preserve"> сүүлийн 6 сар болон түүнээс дээш хугацаанд 3 удаагийн эргэн төлөлтийг тогтмол хийсэн;</w:t>
      </w:r>
    </w:p>
    <w:p w14:paraId="3FA2C269" w14:textId="77777777" w:rsidR="006D5214" w:rsidRPr="00990BBC" w:rsidRDefault="00EA7EDA" w:rsidP="00990BBC">
      <w:pPr>
        <w:pStyle w:val="Default"/>
        <w:widowControl w:val="0"/>
        <w:tabs>
          <w:tab w:val="left" w:pos="0"/>
          <w:tab w:val="left" w:pos="540"/>
          <w:tab w:val="left" w:pos="720"/>
          <w:tab w:val="left" w:pos="1134"/>
          <w:tab w:val="left" w:pos="1170"/>
        </w:tabs>
        <w:spacing w:before="120" w:after="120" w:line="360" w:lineRule="auto"/>
        <w:ind w:firstLine="1701"/>
        <w:jc w:val="both"/>
        <w:rPr>
          <w:noProof/>
          <w:color w:val="auto"/>
          <w:lang w:val="mn-MN"/>
        </w:rPr>
      </w:pPr>
      <w:r w:rsidRPr="00990BBC">
        <w:rPr>
          <w:noProof/>
          <w:color w:val="auto"/>
          <w:lang w:val="mn-MN"/>
        </w:rPr>
        <w:t>2.</w:t>
      </w:r>
      <w:r w:rsidR="006D5214" w:rsidRPr="00990BBC">
        <w:rPr>
          <w:noProof/>
          <w:color w:val="auto"/>
          <w:lang w:val="mn-MN"/>
        </w:rPr>
        <w:t>8.3.</w:t>
      </w:r>
      <w:r w:rsidRPr="00990BBC">
        <w:rPr>
          <w:noProof/>
          <w:color w:val="auto"/>
          <w:lang w:val="mn-MN"/>
        </w:rPr>
        <w:t xml:space="preserve"> төлбөр хариуцагчийн санхүү, төлбөрийн чадварын нөхцөл байдал сайжирснаар активыг анхны эсвэл шинэ гэрээний нөхцөлийн дагуу бүхэлд нь төлж барагдуулах магадлал нэмэгдсэн;</w:t>
      </w:r>
    </w:p>
    <w:p w14:paraId="7CEAD513" w14:textId="28A7A38A" w:rsidR="00EA7EDA" w:rsidRPr="00990BBC" w:rsidRDefault="00EA7EDA" w:rsidP="00990BBC">
      <w:pPr>
        <w:pStyle w:val="Default"/>
        <w:widowControl w:val="0"/>
        <w:tabs>
          <w:tab w:val="left" w:pos="0"/>
          <w:tab w:val="left" w:pos="540"/>
          <w:tab w:val="left" w:pos="720"/>
          <w:tab w:val="left" w:pos="1134"/>
          <w:tab w:val="left" w:pos="1170"/>
        </w:tabs>
        <w:spacing w:before="120" w:after="120" w:line="360" w:lineRule="auto"/>
        <w:ind w:firstLine="1701"/>
        <w:jc w:val="both"/>
        <w:rPr>
          <w:noProof/>
          <w:color w:val="auto"/>
          <w:lang w:val="mn-MN"/>
        </w:rPr>
      </w:pPr>
      <w:r w:rsidRPr="00990BBC">
        <w:rPr>
          <w:noProof/>
          <w:color w:val="auto"/>
          <w:lang w:val="mn-MN"/>
        </w:rPr>
        <w:t>2.</w:t>
      </w:r>
      <w:r w:rsidR="006D5214" w:rsidRPr="00990BBC">
        <w:rPr>
          <w:noProof/>
          <w:color w:val="auto"/>
          <w:lang w:val="mn-MN"/>
        </w:rPr>
        <w:t>8.4 С</w:t>
      </w:r>
      <w:r w:rsidRPr="00990BBC">
        <w:rPr>
          <w:noProof/>
          <w:color w:val="auto"/>
          <w:lang w:val="mn-MN"/>
        </w:rPr>
        <w:t xml:space="preserve">анхүүгийн зохицуулах хорооноос хийсэн газар дээрх хяналт шалгалтын үнэлгээнд үндэслэн эцсийн ангиллыг дээшлүүлэхээр зөвшөөрсөн актив. </w:t>
      </w:r>
    </w:p>
    <w:p w14:paraId="57FD2220" w14:textId="5C271B7C" w:rsidR="00EA7EDA" w:rsidRPr="00990BBC" w:rsidRDefault="003951BA" w:rsidP="00990BBC">
      <w:pPr>
        <w:pStyle w:val="Default"/>
        <w:widowControl w:val="0"/>
        <w:tabs>
          <w:tab w:val="left" w:pos="0"/>
          <w:tab w:val="left" w:pos="540"/>
          <w:tab w:val="left" w:pos="720"/>
          <w:tab w:val="left" w:pos="1134"/>
          <w:tab w:val="left" w:pos="1170"/>
        </w:tabs>
        <w:spacing w:before="120" w:after="120" w:line="360" w:lineRule="auto"/>
        <w:jc w:val="both"/>
        <w:rPr>
          <w:noProof/>
          <w:color w:val="auto"/>
          <w:lang w:val="mn-MN"/>
        </w:rPr>
      </w:pPr>
      <w:r w:rsidRPr="00990BBC">
        <w:rPr>
          <w:noProof/>
          <w:color w:val="auto"/>
          <w:lang w:val="mn-MN"/>
        </w:rPr>
        <w:tab/>
      </w:r>
      <w:r w:rsidR="00EA7EDA" w:rsidRPr="00990BBC">
        <w:rPr>
          <w:noProof/>
          <w:color w:val="auto"/>
          <w:lang w:val="mn-MN"/>
        </w:rPr>
        <w:t>2.</w:t>
      </w:r>
      <w:r w:rsidRPr="00990BBC">
        <w:rPr>
          <w:noProof/>
          <w:color w:val="auto"/>
          <w:lang w:val="mn-MN"/>
        </w:rPr>
        <w:t>9.</w:t>
      </w:r>
      <w:r w:rsidR="00EA7EDA" w:rsidRPr="00990BBC">
        <w:rPr>
          <w:noProof/>
          <w:color w:val="auto"/>
          <w:lang w:val="mn-MN"/>
        </w:rPr>
        <w:t xml:space="preserve"> Энэ</w:t>
      </w:r>
      <w:r w:rsidRPr="00990BBC">
        <w:rPr>
          <w:noProof/>
          <w:color w:val="auto"/>
          <w:lang w:val="mn-MN"/>
        </w:rPr>
        <w:t>хүү</w:t>
      </w:r>
      <w:r w:rsidR="00EA7EDA" w:rsidRPr="00990BBC">
        <w:rPr>
          <w:noProof/>
          <w:color w:val="auto"/>
          <w:lang w:val="mn-MN"/>
        </w:rPr>
        <w:t xml:space="preserve"> журмын 2.8</w:t>
      </w:r>
      <w:r w:rsidRPr="00990BBC">
        <w:rPr>
          <w:noProof/>
          <w:color w:val="auto"/>
          <w:lang w:val="mn-MN"/>
        </w:rPr>
        <w:t>-</w:t>
      </w:r>
      <w:r w:rsidR="00EA7EDA" w:rsidRPr="00990BBC">
        <w:rPr>
          <w:noProof/>
          <w:color w:val="auto"/>
          <w:lang w:val="mn-MN"/>
        </w:rPr>
        <w:t>д заасны дагуу ангилал хийсэн активын эргэн төлөлтийг</w:t>
      </w:r>
      <w:r w:rsidR="00933641" w:rsidRPr="00990BBC">
        <w:rPr>
          <w:noProof/>
          <w:color w:val="auto"/>
          <w:lang w:val="mn-MN"/>
        </w:rPr>
        <w:t xml:space="preserve"> төлбөр хариуцагчаас</w:t>
      </w:r>
      <w:r w:rsidR="00EA7EDA" w:rsidRPr="00990BBC">
        <w:rPr>
          <w:noProof/>
          <w:color w:val="auto"/>
          <w:lang w:val="mn-MN"/>
        </w:rPr>
        <w:t xml:space="preserve"> </w:t>
      </w:r>
      <w:r w:rsidR="00933641" w:rsidRPr="00990BBC">
        <w:rPr>
          <w:noProof/>
          <w:color w:val="auto"/>
          <w:lang w:val="mn-MN"/>
        </w:rPr>
        <w:t xml:space="preserve">активын </w:t>
      </w:r>
      <w:r w:rsidR="00EA7EDA" w:rsidRPr="00990BBC">
        <w:rPr>
          <w:noProof/>
          <w:color w:val="auto"/>
          <w:lang w:val="mn-MN"/>
        </w:rPr>
        <w:t xml:space="preserve">ангилалаа нэмэгдүүлэх </w:t>
      </w:r>
      <w:r w:rsidR="00933641" w:rsidRPr="00990BBC">
        <w:rPr>
          <w:noProof/>
          <w:color w:val="auto"/>
          <w:lang w:val="mn-MN"/>
        </w:rPr>
        <w:t>зорилгоор</w:t>
      </w:r>
      <w:r w:rsidR="00EA7EDA" w:rsidRPr="00990BBC">
        <w:rPr>
          <w:noProof/>
          <w:color w:val="auto"/>
          <w:lang w:val="mn-MN"/>
        </w:rPr>
        <w:t xml:space="preserve"> хийсэн</w:t>
      </w:r>
      <w:r w:rsidR="00933641" w:rsidRPr="00990BBC">
        <w:rPr>
          <w:noProof/>
          <w:color w:val="auto"/>
          <w:lang w:val="mn-MN"/>
        </w:rPr>
        <w:t xml:space="preserve"> буюу</w:t>
      </w:r>
      <w:r w:rsidR="00EA7EDA" w:rsidRPr="00990BBC">
        <w:rPr>
          <w:noProof/>
          <w:color w:val="auto"/>
          <w:lang w:val="mn-MN"/>
        </w:rPr>
        <w:t xml:space="preserve"> активын чанар бодитоор сайжраагүй талаар ББСБ эсвэл Санхүүгийн зохицуулах хороо дүгнэвэл тус активы</w:t>
      </w:r>
      <w:r w:rsidR="00933641" w:rsidRPr="00990BBC">
        <w:rPr>
          <w:noProof/>
          <w:color w:val="auto"/>
          <w:lang w:val="mn-MN"/>
        </w:rPr>
        <w:t>н</w:t>
      </w:r>
      <w:r w:rsidR="00EA7EDA" w:rsidRPr="00990BBC">
        <w:rPr>
          <w:noProof/>
          <w:color w:val="auto"/>
          <w:lang w:val="mn-MN"/>
        </w:rPr>
        <w:t xml:space="preserve"> ангилл</w:t>
      </w:r>
      <w:r w:rsidR="00933641" w:rsidRPr="00990BBC">
        <w:rPr>
          <w:noProof/>
          <w:color w:val="auto"/>
          <w:lang w:val="mn-MN"/>
        </w:rPr>
        <w:t>ыг</w:t>
      </w:r>
      <w:r w:rsidR="00EA7EDA" w:rsidRPr="00990BBC">
        <w:rPr>
          <w:noProof/>
          <w:color w:val="auto"/>
          <w:lang w:val="mn-MN"/>
        </w:rPr>
        <w:t xml:space="preserve"> дээшлүүлэхгүй.</w:t>
      </w:r>
    </w:p>
    <w:p w14:paraId="251318F1" w14:textId="6D53811F" w:rsidR="00EA7EDA" w:rsidRPr="00990BBC" w:rsidRDefault="00B65F17" w:rsidP="00990BBC">
      <w:pPr>
        <w:pStyle w:val="Default"/>
        <w:widowControl w:val="0"/>
        <w:tabs>
          <w:tab w:val="left" w:pos="0"/>
          <w:tab w:val="left" w:pos="540"/>
          <w:tab w:val="left" w:pos="720"/>
          <w:tab w:val="left" w:pos="1134"/>
          <w:tab w:val="left" w:pos="1170"/>
        </w:tabs>
        <w:spacing w:before="120" w:after="120" w:line="360" w:lineRule="auto"/>
        <w:jc w:val="both"/>
        <w:rPr>
          <w:noProof/>
          <w:color w:val="auto"/>
          <w:lang w:val="mn-MN"/>
        </w:rPr>
      </w:pPr>
      <w:r w:rsidRPr="00990BBC">
        <w:rPr>
          <w:noProof/>
          <w:color w:val="auto"/>
          <w:lang w:val="mn-MN"/>
        </w:rPr>
        <w:tab/>
      </w:r>
      <w:r w:rsidR="00EA7EDA" w:rsidRPr="00990BBC">
        <w:rPr>
          <w:noProof/>
          <w:color w:val="auto"/>
          <w:lang w:val="mn-MN"/>
        </w:rPr>
        <w:t>2.</w:t>
      </w:r>
      <w:r w:rsidRPr="00990BBC">
        <w:rPr>
          <w:noProof/>
          <w:color w:val="auto"/>
          <w:lang w:val="mn-MN"/>
        </w:rPr>
        <w:t>9.</w:t>
      </w:r>
      <w:r w:rsidR="00EA7EDA" w:rsidRPr="00990BBC">
        <w:rPr>
          <w:noProof/>
          <w:color w:val="auto"/>
          <w:lang w:val="mn-MN"/>
        </w:rPr>
        <w:t xml:space="preserve"> </w:t>
      </w:r>
      <w:r w:rsidR="00532519">
        <w:rPr>
          <w:noProof/>
          <w:color w:val="auto"/>
          <w:lang w:val="mn-MN"/>
        </w:rPr>
        <w:t>Б</w:t>
      </w:r>
      <w:r w:rsidR="00EA7EDA" w:rsidRPr="00990BBC">
        <w:rPr>
          <w:noProof/>
          <w:color w:val="auto"/>
          <w:lang w:val="mn-MN"/>
        </w:rPr>
        <w:t>үртгэлтэй байгаа чанаргүй активаас хэсэгчлэн тэнцлээс хассан бол хэвийн ангилалд ангилахгүй.</w:t>
      </w:r>
    </w:p>
    <w:p w14:paraId="68B09DEE" w14:textId="77777777" w:rsidR="00EA7EDA" w:rsidRPr="00EA7EDA" w:rsidRDefault="00EA7EDA" w:rsidP="00EA7EDA">
      <w:pPr>
        <w:pStyle w:val="Heading1"/>
        <w:rPr>
          <w:noProof/>
          <w:lang w:val="mn-MN"/>
        </w:rPr>
      </w:pPr>
      <w:r w:rsidRPr="00EA7EDA">
        <w:rPr>
          <w:noProof/>
          <w:lang w:val="mn-MN"/>
        </w:rPr>
        <w:t>Гурав. Активын эрсдэлийн санг байгуулах, зарцуулах</w:t>
      </w:r>
    </w:p>
    <w:p w14:paraId="5AA79F22" w14:textId="77777777" w:rsidR="00EA7EDA" w:rsidRPr="00EA7EDA" w:rsidRDefault="00EA7EDA" w:rsidP="00EA7EDA">
      <w:pPr>
        <w:pStyle w:val="Default"/>
        <w:widowControl w:val="0"/>
        <w:numPr>
          <w:ilvl w:val="1"/>
          <w:numId w:val="3"/>
        </w:numPr>
        <w:tabs>
          <w:tab w:val="left" w:pos="0"/>
          <w:tab w:val="left" w:pos="1134"/>
        </w:tabs>
        <w:spacing w:before="120" w:after="120" w:line="360" w:lineRule="auto"/>
        <w:ind w:left="0" w:firstLine="567"/>
        <w:jc w:val="both"/>
        <w:rPr>
          <w:b/>
          <w:noProof/>
          <w:color w:val="auto"/>
          <w:lang w:val="mn-MN"/>
        </w:rPr>
      </w:pPr>
      <w:r w:rsidRPr="00EA7EDA">
        <w:rPr>
          <w:noProof/>
          <w:color w:val="auto"/>
          <w:lang w:val="mn-MN"/>
        </w:rPr>
        <w:t>ББСБ</w:t>
      </w:r>
      <w:r w:rsidRPr="00EA7EDA" w:rsidDel="00CF7030">
        <w:rPr>
          <w:noProof/>
          <w:color w:val="auto"/>
          <w:lang w:val="mn-MN"/>
        </w:rPr>
        <w:t xml:space="preserve"> </w:t>
      </w:r>
      <w:r w:rsidRPr="00EA7EDA">
        <w:rPr>
          <w:noProof/>
          <w:color w:val="auto"/>
          <w:lang w:val="mn-MN"/>
        </w:rPr>
        <w:t xml:space="preserve">активын эрсдэлийн санг энэ журмын 3.2-т заасан хувь хэмжээгээр зардлаар байгуулна. </w:t>
      </w:r>
    </w:p>
    <w:p w14:paraId="6B90B5DD" w14:textId="77777777" w:rsidR="00EA7EDA" w:rsidRPr="00EA7EDA" w:rsidRDefault="00EA7EDA" w:rsidP="00EA7EDA">
      <w:pPr>
        <w:pStyle w:val="Default"/>
        <w:widowControl w:val="0"/>
        <w:numPr>
          <w:ilvl w:val="1"/>
          <w:numId w:val="3"/>
        </w:numPr>
        <w:tabs>
          <w:tab w:val="left" w:pos="0"/>
          <w:tab w:val="left" w:pos="1134"/>
        </w:tabs>
        <w:spacing w:before="120" w:after="120" w:line="360" w:lineRule="auto"/>
        <w:ind w:left="0" w:firstLine="567"/>
        <w:jc w:val="both"/>
        <w:rPr>
          <w:b/>
          <w:noProof/>
          <w:color w:val="auto"/>
          <w:lang w:val="mn-MN"/>
        </w:rPr>
      </w:pPr>
      <w:r w:rsidRPr="00EA7EDA">
        <w:rPr>
          <w:noProof/>
          <w:color w:val="auto"/>
          <w:lang w:val="mn-MN"/>
        </w:rPr>
        <w:t xml:space="preserve">Активын ангилалд эрсдэлийн санг актив тус бүрийн үлдэгдэл дүнгээс дор заасан хувь хэмжээгээр байгуулна. Үүнд: </w:t>
      </w:r>
    </w:p>
    <w:p w14:paraId="299DC94F" w14:textId="77777777" w:rsidR="00EA7EDA" w:rsidRPr="00EA7EDA" w:rsidRDefault="00EA7EDA" w:rsidP="00EA7EDA">
      <w:pPr>
        <w:pStyle w:val="Default"/>
        <w:widowControl w:val="0"/>
        <w:numPr>
          <w:ilvl w:val="2"/>
          <w:numId w:val="3"/>
        </w:numPr>
        <w:tabs>
          <w:tab w:val="left" w:pos="0"/>
          <w:tab w:val="left" w:pos="1134"/>
        </w:tabs>
        <w:spacing w:before="120" w:after="120" w:line="360" w:lineRule="auto"/>
        <w:ind w:left="0" w:firstLine="1134"/>
        <w:jc w:val="both"/>
        <w:rPr>
          <w:noProof/>
          <w:color w:val="auto"/>
          <w:lang w:val="mn-MN"/>
        </w:rPr>
      </w:pPr>
      <w:r w:rsidRPr="00EA7EDA">
        <w:rPr>
          <w:noProof/>
          <w:color w:val="auto"/>
          <w:lang w:val="mn-MN"/>
        </w:rPr>
        <w:t xml:space="preserve">Хэвийн ангилалд 0 хувь; </w:t>
      </w:r>
    </w:p>
    <w:p w14:paraId="2540B670" w14:textId="77777777" w:rsidR="00EA7EDA" w:rsidRPr="00990BBC" w:rsidRDefault="00EA7EDA" w:rsidP="00EA7EDA">
      <w:pPr>
        <w:pStyle w:val="Default"/>
        <w:widowControl w:val="0"/>
        <w:numPr>
          <w:ilvl w:val="2"/>
          <w:numId w:val="3"/>
        </w:numPr>
        <w:tabs>
          <w:tab w:val="left" w:pos="0"/>
          <w:tab w:val="left" w:pos="1134"/>
        </w:tabs>
        <w:spacing w:before="120" w:after="120" w:line="360" w:lineRule="auto"/>
        <w:ind w:left="0" w:firstLine="1134"/>
        <w:jc w:val="both"/>
        <w:rPr>
          <w:noProof/>
          <w:color w:val="auto"/>
          <w:lang w:val="mn-MN"/>
        </w:rPr>
      </w:pPr>
      <w:r w:rsidRPr="00990BBC">
        <w:rPr>
          <w:noProof/>
          <w:color w:val="auto"/>
          <w:lang w:val="mn-MN"/>
        </w:rPr>
        <w:t xml:space="preserve">Анхаарал хандуулах ангилалд 5 хувь; </w:t>
      </w:r>
    </w:p>
    <w:p w14:paraId="3EA3BF41" w14:textId="77777777" w:rsidR="00EA7EDA" w:rsidRPr="00990BBC" w:rsidRDefault="00EA7EDA" w:rsidP="00EA7EDA">
      <w:pPr>
        <w:pStyle w:val="Default"/>
        <w:widowControl w:val="0"/>
        <w:numPr>
          <w:ilvl w:val="2"/>
          <w:numId w:val="3"/>
        </w:numPr>
        <w:tabs>
          <w:tab w:val="left" w:pos="0"/>
          <w:tab w:val="left" w:pos="1134"/>
        </w:tabs>
        <w:spacing w:before="120" w:after="120" w:line="360" w:lineRule="auto"/>
        <w:ind w:left="0" w:firstLine="1134"/>
        <w:jc w:val="both"/>
        <w:rPr>
          <w:noProof/>
          <w:color w:val="auto"/>
          <w:lang w:val="mn-MN"/>
        </w:rPr>
      </w:pPr>
      <w:r w:rsidRPr="00990BBC">
        <w:rPr>
          <w:noProof/>
          <w:color w:val="auto"/>
          <w:lang w:val="mn-MN"/>
        </w:rPr>
        <w:t>Чанаргүй ангилалтай актив, үүнээс:</w:t>
      </w:r>
    </w:p>
    <w:p w14:paraId="2AECEEEA" w14:textId="77777777" w:rsidR="00EA7EDA" w:rsidRPr="00990BBC" w:rsidRDefault="00EA7EDA" w:rsidP="00EA7EDA">
      <w:pPr>
        <w:pStyle w:val="Default"/>
        <w:tabs>
          <w:tab w:val="left" w:pos="0"/>
          <w:tab w:val="left" w:pos="1134"/>
          <w:tab w:val="left" w:pos="1418"/>
          <w:tab w:val="left" w:pos="1985"/>
        </w:tabs>
        <w:spacing w:before="120" w:after="120" w:line="360" w:lineRule="auto"/>
        <w:ind w:firstLine="1701"/>
        <w:jc w:val="both"/>
        <w:rPr>
          <w:noProof/>
          <w:color w:val="auto"/>
          <w:lang w:val="mn-MN"/>
        </w:rPr>
      </w:pPr>
      <w:r w:rsidRPr="00990BBC">
        <w:rPr>
          <w:noProof/>
          <w:color w:val="auto"/>
          <w:lang w:val="mn-MN"/>
        </w:rPr>
        <w:t>3.2.3.1</w:t>
      </w:r>
      <w:r w:rsidRPr="00990BBC">
        <w:rPr>
          <w:noProof/>
          <w:color w:val="auto"/>
          <w:lang w:val="mn-MN"/>
        </w:rPr>
        <w:tab/>
        <w:t xml:space="preserve">хэвийн бус ангилалд 25 хувь; </w:t>
      </w:r>
    </w:p>
    <w:p w14:paraId="5E9659BA" w14:textId="77777777" w:rsidR="00EA7EDA" w:rsidRPr="00990BBC" w:rsidRDefault="00EA7EDA" w:rsidP="00EA7EDA">
      <w:pPr>
        <w:pStyle w:val="Default"/>
        <w:tabs>
          <w:tab w:val="left" w:pos="0"/>
          <w:tab w:val="left" w:pos="1134"/>
          <w:tab w:val="left" w:pos="1418"/>
          <w:tab w:val="left" w:pos="1985"/>
        </w:tabs>
        <w:spacing w:before="120" w:after="120" w:line="360" w:lineRule="auto"/>
        <w:ind w:firstLine="1701"/>
        <w:jc w:val="both"/>
        <w:rPr>
          <w:noProof/>
          <w:color w:val="auto"/>
          <w:lang w:val="mn-MN"/>
        </w:rPr>
      </w:pPr>
      <w:r w:rsidRPr="00990BBC">
        <w:rPr>
          <w:noProof/>
          <w:color w:val="auto"/>
          <w:lang w:val="mn-MN"/>
        </w:rPr>
        <w:t>3.2.3.2</w:t>
      </w:r>
      <w:r w:rsidRPr="00990BBC">
        <w:rPr>
          <w:noProof/>
          <w:color w:val="auto"/>
          <w:lang w:val="mn-MN"/>
        </w:rPr>
        <w:tab/>
        <w:t xml:space="preserve">эргэлзээтэй ангилалд 50 хувь; </w:t>
      </w:r>
    </w:p>
    <w:p w14:paraId="48FD22CA" w14:textId="77777777" w:rsidR="00EA7EDA" w:rsidRPr="00990BBC" w:rsidRDefault="00EA7EDA" w:rsidP="00EA7EDA">
      <w:pPr>
        <w:pStyle w:val="Default"/>
        <w:widowControl w:val="0"/>
        <w:tabs>
          <w:tab w:val="left" w:pos="0"/>
          <w:tab w:val="left" w:pos="1134"/>
          <w:tab w:val="left" w:pos="1418"/>
          <w:tab w:val="left" w:pos="1985"/>
        </w:tabs>
        <w:spacing w:before="120" w:after="120" w:line="360" w:lineRule="auto"/>
        <w:ind w:firstLine="1701"/>
        <w:jc w:val="both"/>
        <w:rPr>
          <w:noProof/>
          <w:color w:val="auto"/>
          <w:lang w:val="mn-MN"/>
        </w:rPr>
      </w:pPr>
      <w:r w:rsidRPr="00990BBC">
        <w:rPr>
          <w:noProof/>
          <w:color w:val="auto"/>
          <w:lang w:val="mn-MN"/>
        </w:rPr>
        <w:t xml:space="preserve">3.2.3.3 </w:t>
      </w:r>
      <w:r w:rsidRPr="00990BBC">
        <w:rPr>
          <w:noProof/>
          <w:color w:val="auto"/>
          <w:lang w:val="mn-MN"/>
        </w:rPr>
        <w:tab/>
        <w:t>муу ангилалд 100 хувь.</w:t>
      </w:r>
    </w:p>
    <w:p w14:paraId="322C80A4" w14:textId="11F53868" w:rsidR="00EA7EDA" w:rsidRPr="00901EEB" w:rsidRDefault="00EA7EDA" w:rsidP="00EA7EDA">
      <w:pPr>
        <w:pStyle w:val="Default"/>
        <w:widowControl w:val="0"/>
        <w:numPr>
          <w:ilvl w:val="1"/>
          <w:numId w:val="3"/>
        </w:numPr>
        <w:tabs>
          <w:tab w:val="left" w:pos="0"/>
          <w:tab w:val="left" w:pos="1134"/>
        </w:tabs>
        <w:spacing w:before="120" w:after="120" w:line="360" w:lineRule="auto"/>
        <w:ind w:left="0" w:firstLine="567"/>
        <w:jc w:val="both"/>
        <w:rPr>
          <w:b/>
          <w:noProof/>
          <w:color w:val="FF0000"/>
          <w:lang w:val="mn-MN"/>
        </w:rPr>
      </w:pPr>
      <w:r w:rsidRPr="00990BBC">
        <w:rPr>
          <w:noProof/>
          <w:color w:val="auto"/>
          <w:lang w:val="mn-MN"/>
        </w:rPr>
        <w:t xml:space="preserve">Активын эрсдэлийн санг тухайн сарын сүүлийн </w:t>
      </w:r>
      <w:r w:rsidR="00990BBC" w:rsidRPr="00990BBC">
        <w:rPr>
          <w:noProof/>
          <w:color w:val="auto"/>
          <w:lang w:val="mn-MN"/>
        </w:rPr>
        <w:t xml:space="preserve">ажлын өдөр </w:t>
      </w:r>
      <w:r w:rsidRPr="00990BBC">
        <w:rPr>
          <w:noProof/>
          <w:color w:val="auto"/>
          <w:lang w:val="mn-MN"/>
        </w:rPr>
        <w:t>байгуулна.</w:t>
      </w:r>
    </w:p>
    <w:p w14:paraId="704FE493" w14:textId="43DC3466" w:rsidR="00EA7EDA" w:rsidRPr="00EA7EDA" w:rsidRDefault="00EA7EDA" w:rsidP="00EA7EDA">
      <w:pPr>
        <w:pStyle w:val="Default"/>
        <w:widowControl w:val="0"/>
        <w:numPr>
          <w:ilvl w:val="1"/>
          <w:numId w:val="3"/>
        </w:numPr>
        <w:tabs>
          <w:tab w:val="left" w:pos="0"/>
          <w:tab w:val="left" w:pos="1134"/>
        </w:tabs>
        <w:spacing w:before="120" w:after="120" w:line="360" w:lineRule="auto"/>
        <w:ind w:left="0" w:firstLine="567"/>
        <w:jc w:val="both"/>
        <w:rPr>
          <w:b/>
          <w:noProof/>
          <w:color w:val="auto"/>
          <w:lang w:val="mn-MN"/>
        </w:rPr>
      </w:pPr>
      <w:r w:rsidRPr="00EA7EDA">
        <w:rPr>
          <w:noProof/>
          <w:color w:val="auto"/>
          <w:lang w:val="mn-MN"/>
        </w:rPr>
        <w:t>Активыг ангилж сан байгуулахдаа дараах ү</w:t>
      </w:r>
      <w:r w:rsidR="006B558C">
        <w:rPr>
          <w:noProof/>
          <w:color w:val="auto"/>
          <w:lang w:val="mn-MN"/>
        </w:rPr>
        <w:t>ндсэн зарчмыг баримтална:</w:t>
      </w:r>
    </w:p>
    <w:p w14:paraId="4400C2CE" w14:textId="454C8CED" w:rsidR="00EA7EDA" w:rsidRPr="00EA7EDA" w:rsidRDefault="00EA7EDA" w:rsidP="00EA7EDA">
      <w:pPr>
        <w:pStyle w:val="Default"/>
        <w:widowControl w:val="0"/>
        <w:numPr>
          <w:ilvl w:val="2"/>
          <w:numId w:val="3"/>
        </w:numPr>
        <w:tabs>
          <w:tab w:val="left" w:pos="142"/>
          <w:tab w:val="left" w:pos="540"/>
        </w:tabs>
        <w:spacing w:before="120" w:after="120" w:line="360" w:lineRule="auto"/>
        <w:ind w:left="0" w:firstLine="1134"/>
        <w:jc w:val="both"/>
        <w:rPr>
          <w:noProof/>
          <w:color w:val="auto"/>
          <w:lang w:val="mn-MN"/>
        </w:rPr>
      </w:pPr>
      <w:r w:rsidRPr="00EA7EDA">
        <w:rPr>
          <w:color w:val="auto"/>
          <w:lang w:val="mn-MN"/>
        </w:rPr>
        <w:t>Хэвийн активыг санхүүгийн тайлан тэнцэлд анх тусгах үед эр</w:t>
      </w:r>
      <w:r w:rsidR="006B558C">
        <w:rPr>
          <w:color w:val="auto"/>
          <w:lang w:val="mn-MN"/>
        </w:rPr>
        <w:t>сдэлийн санг байгуулахгүй бөгөөд</w:t>
      </w:r>
      <w:r w:rsidRPr="00EA7EDA">
        <w:rPr>
          <w:color w:val="auto"/>
          <w:lang w:val="mn-MN"/>
        </w:rPr>
        <w:t xml:space="preserve"> активтай холбоотой гэрээ, хэлцлийн дагуу үүрэг хүлээсэн этгээд нь үндсэн өр болон хүүгийн төлбөрийг бүхэлд нь болон хэсэгчлэн буцаан төлөх чадваргүй болж болзошгүй нь үндэслэл бүхий баримтаар нотлогдсон бол ББСБ нь хүлээж болзошгүй </w:t>
      </w:r>
      <w:r w:rsidRPr="00EA7EDA">
        <w:rPr>
          <w:color w:val="auto"/>
          <w:lang w:val="mn-MN"/>
        </w:rPr>
        <w:lastRenderedPageBreak/>
        <w:t>алдагдлын дүнг тухай бүр тооцож, холбогдох эрсдэлийн санг журмын 3.3-д заасан хугацаанд зардлаар байгуулна</w:t>
      </w:r>
      <w:r w:rsidRPr="00EA7EDA">
        <w:rPr>
          <w:noProof/>
          <w:color w:val="auto"/>
          <w:lang w:val="mn-MN"/>
        </w:rPr>
        <w:t>.</w:t>
      </w:r>
    </w:p>
    <w:p w14:paraId="6C3E25C9" w14:textId="77777777" w:rsidR="00EA7EDA" w:rsidRPr="00EA7EDA" w:rsidRDefault="00EA7EDA" w:rsidP="00EA7EDA">
      <w:pPr>
        <w:pStyle w:val="Default"/>
        <w:widowControl w:val="0"/>
        <w:numPr>
          <w:ilvl w:val="2"/>
          <w:numId w:val="3"/>
        </w:numPr>
        <w:tabs>
          <w:tab w:val="left" w:pos="0"/>
          <w:tab w:val="left" w:pos="540"/>
        </w:tabs>
        <w:spacing w:before="120" w:after="120" w:line="360" w:lineRule="auto"/>
        <w:ind w:left="0" w:firstLine="1134"/>
        <w:jc w:val="both"/>
        <w:rPr>
          <w:noProof/>
          <w:color w:val="auto"/>
          <w:lang w:val="mn-MN"/>
        </w:rPr>
      </w:pPr>
      <w:r w:rsidRPr="00EA7EDA">
        <w:rPr>
          <w:noProof/>
          <w:color w:val="auto"/>
          <w:lang w:val="mn-MN"/>
        </w:rPr>
        <w:t>ББСБ нь эрсдэлийн сан байгуулах, зориулалтын дагуу ашиглах, эрсдэлийн сангаас зарцуулах гүйлгээг Санхүүгийн зохицуулах хорооноос тогтоосон нягтлан бодох бүртгэлийн журмын дагуу хийнэ.</w:t>
      </w:r>
    </w:p>
    <w:p w14:paraId="273C7EC4" w14:textId="77777777" w:rsidR="00EA7EDA" w:rsidRPr="00EA7EDA" w:rsidRDefault="00EA7EDA" w:rsidP="00EA7EDA">
      <w:pPr>
        <w:pStyle w:val="Default"/>
        <w:widowControl w:val="0"/>
        <w:numPr>
          <w:ilvl w:val="2"/>
          <w:numId w:val="3"/>
        </w:numPr>
        <w:tabs>
          <w:tab w:val="left" w:pos="0"/>
          <w:tab w:val="left" w:pos="540"/>
        </w:tabs>
        <w:spacing w:before="120" w:after="120" w:line="360" w:lineRule="auto"/>
        <w:ind w:left="0" w:firstLine="1134"/>
        <w:jc w:val="both"/>
        <w:rPr>
          <w:noProof/>
          <w:color w:val="auto"/>
          <w:lang w:val="mn-MN"/>
        </w:rPr>
      </w:pPr>
      <w:r w:rsidRPr="00EA7EDA">
        <w:rPr>
          <w:noProof/>
          <w:color w:val="auto"/>
          <w:lang w:val="mn-MN"/>
        </w:rPr>
        <w:t xml:space="preserve">Зээлийг өмчлөх бусад хөрөнгөд шилжүүлэхээс бусад тохиолдолд активын хэлбэрийг өөрчлөхдөө хэлбэр өөрчлөгдөхөөс өмнөх ангиллыг хэвээр хадгалж, түүнд үндэслэн энэхүү журмын дагуу дараагийн ангиллыг хийнэ. </w:t>
      </w:r>
    </w:p>
    <w:p w14:paraId="56D7EAA9" w14:textId="01AC52A6" w:rsidR="00EA7EDA" w:rsidRPr="00EA7EDA" w:rsidRDefault="00EA7EDA" w:rsidP="00EA7EDA">
      <w:pPr>
        <w:pStyle w:val="Default"/>
        <w:widowControl w:val="0"/>
        <w:numPr>
          <w:ilvl w:val="2"/>
          <w:numId w:val="3"/>
        </w:numPr>
        <w:tabs>
          <w:tab w:val="left" w:pos="0"/>
          <w:tab w:val="left" w:pos="540"/>
        </w:tabs>
        <w:spacing w:before="120" w:after="120" w:line="360" w:lineRule="auto"/>
        <w:ind w:left="0" w:firstLine="1134"/>
        <w:jc w:val="both"/>
        <w:rPr>
          <w:noProof/>
          <w:color w:val="auto"/>
          <w:lang w:val="mn-MN"/>
        </w:rPr>
      </w:pPr>
      <w:r w:rsidRPr="00EA7EDA">
        <w:rPr>
          <w:noProof/>
          <w:color w:val="auto"/>
          <w:lang w:val="mn-MN"/>
        </w:rPr>
        <w:t xml:space="preserve">Хувьцаа болон түүнтэй адилтган тооцох үнэт цаасны эрсдэлийн санг зөвхөн төлбөр хариуцагчийн төлбөрийн чадварыг харгалзан </w:t>
      </w:r>
      <w:r w:rsidR="00DA540E">
        <w:rPr>
          <w:noProof/>
          <w:color w:val="auto"/>
          <w:lang w:val="mn-MN"/>
        </w:rPr>
        <w:t>журмын 3.4.1-д заасны дагуу</w:t>
      </w:r>
      <w:r w:rsidRPr="00EA7EDA">
        <w:rPr>
          <w:noProof/>
          <w:color w:val="auto"/>
          <w:lang w:val="mn-MN"/>
        </w:rPr>
        <w:t xml:space="preserve"> тооцож, эрсдэлийн сан байгуулна.</w:t>
      </w:r>
    </w:p>
    <w:p w14:paraId="34523DD8" w14:textId="77777777" w:rsidR="00EA7EDA" w:rsidRPr="00EA7EDA" w:rsidRDefault="00EA7EDA" w:rsidP="00EA7EDA">
      <w:pPr>
        <w:pStyle w:val="Default"/>
        <w:widowControl w:val="0"/>
        <w:numPr>
          <w:ilvl w:val="1"/>
          <w:numId w:val="3"/>
        </w:numPr>
        <w:tabs>
          <w:tab w:val="left" w:pos="0"/>
          <w:tab w:val="left" w:pos="1134"/>
        </w:tabs>
        <w:spacing w:before="120" w:after="120" w:line="360" w:lineRule="auto"/>
        <w:ind w:left="0" w:firstLine="567"/>
        <w:jc w:val="both"/>
        <w:rPr>
          <w:noProof/>
          <w:color w:val="auto"/>
          <w:lang w:val="mn-MN"/>
        </w:rPr>
      </w:pPr>
      <w:r w:rsidRPr="00EA7EDA">
        <w:rPr>
          <w:noProof/>
          <w:color w:val="auto"/>
          <w:lang w:val="mn-MN"/>
        </w:rPr>
        <w:t>ББСБ</w:t>
      </w:r>
      <w:r w:rsidRPr="00EA7EDA" w:rsidDel="00CF7030">
        <w:rPr>
          <w:noProof/>
          <w:color w:val="auto"/>
          <w:lang w:val="mn-MN"/>
        </w:rPr>
        <w:t xml:space="preserve"> </w:t>
      </w:r>
      <w:r w:rsidRPr="00EA7EDA">
        <w:rPr>
          <w:noProof/>
          <w:color w:val="auto"/>
          <w:lang w:val="mn-MN"/>
        </w:rPr>
        <w:t>нь дутуу байгуулсан эрсдэлийн санг нэмж байгуулах тохиолдолд зардлаар нэмж байгуулах, илүү байгуулсан эрсдэлийн санг буцаах тохиолдолд эхэлж сан байгуулсан зардлын дансыг хорогдуулах бөгөөд илүү байгуулсан дүн нь тухайн үед байгаа зардлын дансны үлдэгдлээс хэтэрсэн нөхцөлд бусад орлогын дансанд хаана.</w:t>
      </w:r>
    </w:p>
    <w:p w14:paraId="521B6940" w14:textId="77777777" w:rsidR="00EA7EDA" w:rsidRPr="00EA7EDA" w:rsidRDefault="00EA7EDA" w:rsidP="00EA7EDA">
      <w:pPr>
        <w:pStyle w:val="Default"/>
        <w:widowControl w:val="0"/>
        <w:numPr>
          <w:ilvl w:val="1"/>
          <w:numId w:val="3"/>
        </w:numPr>
        <w:tabs>
          <w:tab w:val="left" w:pos="0"/>
          <w:tab w:val="left" w:pos="1134"/>
        </w:tabs>
        <w:spacing w:before="120" w:after="120" w:line="360" w:lineRule="auto"/>
        <w:ind w:left="0" w:firstLine="567"/>
        <w:jc w:val="both"/>
        <w:rPr>
          <w:noProof/>
          <w:color w:val="auto"/>
          <w:lang w:val="mn-MN"/>
        </w:rPr>
      </w:pPr>
      <w:r w:rsidRPr="00EA7EDA">
        <w:rPr>
          <w:noProof/>
          <w:color w:val="auto"/>
          <w:lang w:val="mn-MN"/>
        </w:rPr>
        <w:t>ББСБ</w:t>
      </w:r>
      <w:r w:rsidRPr="00EA7EDA" w:rsidDel="00CF7030">
        <w:rPr>
          <w:noProof/>
          <w:color w:val="auto"/>
          <w:lang w:val="mn-MN"/>
        </w:rPr>
        <w:t xml:space="preserve"> </w:t>
      </w:r>
      <w:r w:rsidRPr="00EA7EDA">
        <w:rPr>
          <w:noProof/>
          <w:color w:val="auto"/>
          <w:lang w:val="mn-MN"/>
        </w:rPr>
        <w:t xml:space="preserve">активыг холбогдох сангаас зөвхөн дор дурдсан нөхцөлд дараах баримт бичгийг үндэслэн хорогдуулж болно: </w:t>
      </w:r>
    </w:p>
    <w:p w14:paraId="00A197AB" w14:textId="77777777" w:rsidR="00EA7EDA" w:rsidRPr="00EA7EDA" w:rsidRDefault="00EA7EDA" w:rsidP="00EA7EDA">
      <w:pPr>
        <w:pStyle w:val="Default"/>
        <w:widowControl w:val="0"/>
        <w:numPr>
          <w:ilvl w:val="2"/>
          <w:numId w:val="3"/>
        </w:numPr>
        <w:tabs>
          <w:tab w:val="left" w:pos="0"/>
          <w:tab w:val="left" w:pos="540"/>
        </w:tabs>
        <w:spacing w:before="120" w:after="120" w:line="360" w:lineRule="auto"/>
        <w:ind w:left="0" w:firstLine="1134"/>
        <w:jc w:val="both"/>
        <w:rPr>
          <w:noProof/>
          <w:color w:val="auto"/>
          <w:lang w:val="mn-MN"/>
        </w:rPr>
      </w:pPr>
      <w:r w:rsidRPr="00EA7EDA">
        <w:rPr>
          <w:noProof/>
          <w:color w:val="auto"/>
          <w:lang w:val="mn-MN"/>
        </w:rPr>
        <w:t>Төлүүлэх тухай шүүхийн шийдвэр гарснаас хойш хагас жилийн дотор төлбөр хариуцагчаас төлбөрийг бүрэн хийгээгүй нөхцөлд ББСБ-ын төлөөлөн удирдах зөвлөл /хувьцаа эзэмшигчдийн хурал/-ийн шийдвэрээр;</w:t>
      </w:r>
    </w:p>
    <w:p w14:paraId="52441F50" w14:textId="77777777" w:rsidR="00EA7EDA" w:rsidRPr="00EA7EDA" w:rsidRDefault="00EA7EDA" w:rsidP="00EA7EDA">
      <w:pPr>
        <w:pStyle w:val="Default"/>
        <w:widowControl w:val="0"/>
        <w:numPr>
          <w:ilvl w:val="2"/>
          <w:numId w:val="3"/>
        </w:numPr>
        <w:tabs>
          <w:tab w:val="left" w:pos="0"/>
          <w:tab w:val="left" w:pos="540"/>
        </w:tabs>
        <w:spacing w:before="120" w:after="120" w:line="360" w:lineRule="auto"/>
        <w:ind w:left="0" w:firstLine="1134"/>
        <w:jc w:val="both"/>
        <w:rPr>
          <w:noProof/>
          <w:color w:val="auto"/>
          <w:lang w:val="mn-MN"/>
        </w:rPr>
      </w:pPr>
      <w:r w:rsidRPr="00EA7EDA">
        <w:rPr>
          <w:noProof/>
          <w:color w:val="auto"/>
          <w:lang w:val="mn-MN"/>
        </w:rPr>
        <w:t>Төлбөр хариуцагчаас тодорхой хэсгийг гаргуулахаар шүүхийн шийдвэр гарсан боловч үлдэх хэсгийг төлбөр хариуцагч хариуцахгүй болсныг тогтоосон шүүхийн шийдвэрээр тухайн үлдэх хэсгийг;</w:t>
      </w:r>
    </w:p>
    <w:p w14:paraId="1A720FA4" w14:textId="77777777" w:rsidR="00EA7EDA" w:rsidRPr="00EA7EDA" w:rsidRDefault="00EA7EDA" w:rsidP="00EA7EDA">
      <w:pPr>
        <w:pStyle w:val="Default"/>
        <w:widowControl w:val="0"/>
        <w:numPr>
          <w:ilvl w:val="2"/>
          <w:numId w:val="3"/>
        </w:numPr>
        <w:tabs>
          <w:tab w:val="left" w:pos="0"/>
          <w:tab w:val="left" w:pos="540"/>
        </w:tabs>
        <w:spacing w:before="120" w:after="120" w:line="360" w:lineRule="auto"/>
        <w:ind w:left="0" w:firstLine="1134"/>
        <w:jc w:val="both"/>
        <w:rPr>
          <w:noProof/>
          <w:color w:val="auto"/>
          <w:lang w:val="mn-MN"/>
        </w:rPr>
      </w:pPr>
      <w:r w:rsidRPr="00EA7EDA">
        <w:rPr>
          <w:noProof/>
          <w:color w:val="auto"/>
          <w:lang w:val="mn-MN"/>
        </w:rPr>
        <w:t>Шүүхийн шийдвэр гүйцэтгэх ажиллагааг түдгэлзүүлсэн тухай шүүгчийн захирамж болон ахлах шийдвэр гүйцэтгэгчийн тогтоолоор;</w:t>
      </w:r>
    </w:p>
    <w:p w14:paraId="24CEC1C6" w14:textId="5E2ACF98" w:rsidR="00EA7EDA" w:rsidRPr="00EA7EDA" w:rsidRDefault="00EA7EDA" w:rsidP="00EA7EDA">
      <w:pPr>
        <w:pStyle w:val="Default"/>
        <w:widowControl w:val="0"/>
        <w:numPr>
          <w:ilvl w:val="2"/>
          <w:numId w:val="3"/>
        </w:numPr>
        <w:tabs>
          <w:tab w:val="left" w:pos="0"/>
          <w:tab w:val="left" w:pos="540"/>
        </w:tabs>
        <w:spacing w:before="120" w:after="120" w:line="360" w:lineRule="auto"/>
        <w:ind w:left="0" w:firstLine="1134"/>
        <w:jc w:val="both"/>
        <w:rPr>
          <w:noProof/>
          <w:color w:val="auto"/>
          <w:lang w:val="mn-MN"/>
        </w:rPr>
      </w:pPr>
      <w:r w:rsidRPr="00EA7EDA">
        <w:rPr>
          <w:noProof/>
          <w:color w:val="auto"/>
          <w:lang w:val="mn-MN"/>
        </w:rPr>
        <w:t xml:space="preserve">Төлбөр хариуцагчийн талаар шүүхэд хандсан боловч тодорхой шийдвэр гаргах боломжгүй нөхцөл бий болсон активыг муу ангилалд орсноос хойш хагас жилийн дараа өөрийн хөрөнгийн 1 </w:t>
      </w:r>
      <w:r w:rsidR="009D40E7">
        <w:rPr>
          <w:noProof/>
          <w:color w:val="auto"/>
          <w:lang w:val="mn-MN"/>
        </w:rPr>
        <w:t>хувь хүрэхгүй дүнтэй активыг г</w:t>
      </w:r>
      <w:r w:rsidRPr="00EA7EDA">
        <w:rPr>
          <w:noProof/>
          <w:color w:val="auto"/>
          <w:lang w:val="mn-MN"/>
        </w:rPr>
        <w:t>үйцэтгэх захирлын шийдвэрээр, өөрийн хөрөнгийн 1 хувиас доошгүй дүнтэй активыг төлөөлөн удирдах зөвлөл /хувьцаа эзэмшигчдийн хурал/-ийн шийдвэрээр.</w:t>
      </w:r>
    </w:p>
    <w:p w14:paraId="2AEC8F70" w14:textId="50ECB607" w:rsidR="00EA7EDA" w:rsidRPr="00EA7EDA" w:rsidRDefault="00EA7EDA" w:rsidP="00EA7EDA">
      <w:pPr>
        <w:pStyle w:val="Default"/>
        <w:widowControl w:val="0"/>
        <w:numPr>
          <w:ilvl w:val="1"/>
          <w:numId w:val="3"/>
        </w:numPr>
        <w:tabs>
          <w:tab w:val="left" w:pos="0"/>
          <w:tab w:val="left" w:pos="1134"/>
        </w:tabs>
        <w:spacing w:before="120" w:after="120" w:line="360" w:lineRule="auto"/>
        <w:ind w:left="0" w:firstLine="567"/>
        <w:jc w:val="both"/>
        <w:rPr>
          <w:noProof/>
          <w:color w:val="auto"/>
          <w:lang w:val="mn-MN"/>
        </w:rPr>
      </w:pPr>
      <w:r w:rsidRPr="00EA7EDA">
        <w:rPr>
          <w:noProof/>
          <w:color w:val="auto"/>
          <w:lang w:val="mn-MN"/>
        </w:rPr>
        <w:t xml:space="preserve">ББСБ-ын хувьцаа эзэмшигчийн хувьд энэ журмын 3.6.1 дэх заалт хамаарахгүй бөгөөд тухайн ББСБ дахь активаа төлж чадахгүй бол эхний ээлжинд барьцаа хөрөнгийг </w:t>
      </w:r>
      <w:r w:rsidR="009D40E7">
        <w:rPr>
          <w:noProof/>
          <w:color w:val="auto"/>
          <w:lang w:val="mn-MN"/>
        </w:rPr>
        <w:lastRenderedPageBreak/>
        <w:t>худалдаж ол</w:t>
      </w:r>
      <w:r w:rsidRPr="00EA7EDA">
        <w:rPr>
          <w:noProof/>
          <w:color w:val="auto"/>
          <w:lang w:val="mn-MN"/>
        </w:rPr>
        <w:t>сон орлогоор, хэрэв үндсэн өр төлбөр, хүүгийн дүн уг орлогоос давж байвал, тухайн ББСБ-д хувь нийлүүлсэн хөрөнгийг худалдаж, о</w:t>
      </w:r>
      <w:r w:rsidR="00532519">
        <w:rPr>
          <w:noProof/>
          <w:color w:val="auto"/>
          <w:lang w:val="mn-MN"/>
        </w:rPr>
        <w:t>л</w:t>
      </w:r>
      <w:bookmarkStart w:id="0" w:name="_GoBack"/>
      <w:bookmarkEnd w:id="0"/>
      <w:r w:rsidRPr="00EA7EDA">
        <w:rPr>
          <w:noProof/>
          <w:color w:val="auto"/>
          <w:lang w:val="mn-MN"/>
        </w:rPr>
        <w:t xml:space="preserve">сон орлогоор активыг төлүүлнэ. </w:t>
      </w:r>
    </w:p>
    <w:p w14:paraId="5047929B" w14:textId="77777777" w:rsidR="00EA7EDA" w:rsidRPr="00EA7EDA" w:rsidRDefault="00EA7EDA" w:rsidP="00EA7EDA">
      <w:pPr>
        <w:pStyle w:val="Default"/>
        <w:widowControl w:val="0"/>
        <w:numPr>
          <w:ilvl w:val="1"/>
          <w:numId w:val="3"/>
        </w:numPr>
        <w:tabs>
          <w:tab w:val="left" w:pos="0"/>
          <w:tab w:val="left" w:pos="1134"/>
        </w:tabs>
        <w:spacing w:before="120" w:after="120" w:line="360" w:lineRule="auto"/>
        <w:ind w:left="0" w:firstLine="567"/>
        <w:jc w:val="both"/>
        <w:rPr>
          <w:noProof/>
          <w:color w:val="auto"/>
          <w:lang w:val="mn-MN"/>
        </w:rPr>
      </w:pPr>
      <w:r w:rsidRPr="00EA7EDA">
        <w:rPr>
          <w:noProof/>
          <w:color w:val="auto"/>
          <w:lang w:val="mn-MN"/>
        </w:rPr>
        <w:t xml:space="preserve">Активыг холбогдох эрсдэлийн сангаас хорогдуулсан тохиолдолд тэнцлийн гадуурх дансанд /хувийн хэрэг болон холбогдох бусад бичиг баримтын хамтаар/ нэрийн данс бүрээр дэлгэрэнгүй бүртгэж, төлүүлж барагдуулах арга хэмжээг эрчимтэй үргэлжлүүлнэ. </w:t>
      </w:r>
    </w:p>
    <w:p w14:paraId="64D012C2" w14:textId="77777777" w:rsidR="00EA7EDA" w:rsidRPr="00EA7EDA" w:rsidRDefault="00EA7EDA" w:rsidP="00EA7EDA">
      <w:pPr>
        <w:pStyle w:val="Default"/>
        <w:widowControl w:val="0"/>
        <w:numPr>
          <w:ilvl w:val="1"/>
          <w:numId w:val="3"/>
        </w:numPr>
        <w:tabs>
          <w:tab w:val="left" w:pos="0"/>
          <w:tab w:val="left" w:pos="1134"/>
        </w:tabs>
        <w:spacing w:before="120" w:after="120" w:line="360" w:lineRule="auto"/>
        <w:ind w:left="0" w:firstLine="567"/>
        <w:jc w:val="both"/>
        <w:rPr>
          <w:b/>
          <w:noProof/>
          <w:color w:val="auto"/>
          <w:lang w:val="mn-MN"/>
        </w:rPr>
      </w:pPr>
      <w:r w:rsidRPr="00EA7EDA">
        <w:rPr>
          <w:noProof/>
          <w:color w:val="auto"/>
          <w:lang w:val="mn-MN"/>
        </w:rPr>
        <w:t>Сангаар хорогдуулж тэнцлийн гадуурх дансанд бүртгэсэн активын төлбөр хийгдсэн нөхцөлд тэр хэмжээгээр ББСБ-ын үйл ажиллагааны бусад орлогод бүртгэнэ.</w:t>
      </w:r>
    </w:p>
    <w:p w14:paraId="1D6C7D23" w14:textId="77777777" w:rsidR="00EA7EDA" w:rsidRPr="00EA7EDA" w:rsidRDefault="00EA7EDA" w:rsidP="00EA7EDA">
      <w:pPr>
        <w:pStyle w:val="Heading1"/>
        <w:rPr>
          <w:noProof/>
          <w:lang w:val="mn-MN"/>
        </w:rPr>
      </w:pPr>
      <w:r w:rsidRPr="00EA7EDA">
        <w:rPr>
          <w:noProof/>
          <w:lang w:val="mn-MN"/>
        </w:rPr>
        <w:t>Дөрөв. Хяналт, хариуцлага</w:t>
      </w:r>
    </w:p>
    <w:p w14:paraId="66096754" w14:textId="77777777" w:rsidR="00EA7EDA" w:rsidRPr="00EA7EDA" w:rsidRDefault="00EA7EDA" w:rsidP="00EA7EDA">
      <w:pPr>
        <w:pStyle w:val="Default"/>
        <w:widowControl w:val="0"/>
        <w:numPr>
          <w:ilvl w:val="1"/>
          <w:numId w:val="4"/>
        </w:numPr>
        <w:tabs>
          <w:tab w:val="left" w:pos="0"/>
          <w:tab w:val="left" w:pos="540"/>
          <w:tab w:val="left" w:pos="1134"/>
        </w:tabs>
        <w:spacing w:before="120" w:after="120" w:line="360" w:lineRule="auto"/>
        <w:ind w:left="0" w:firstLine="567"/>
        <w:jc w:val="both"/>
        <w:rPr>
          <w:noProof/>
          <w:color w:val="auto"/>
          <w:lang w:val="mn-MN"/>
        </w:rPr>
      </w:pPr>
      <w:r w:rsidRPr="00EA7EDA">
        <w:rPr>
          <w:noProof/>
          <w:color w:val="auto"/>
          <w:lang w:val="mn-MN"/>
        </w:rPr>
        <w:t xml:space="preserve">ББСБ-ын удирдлага нь актив хөрөнгийн эрсдэлийг хянаж, удирдах зохистой механизмыг бүрдүүлж ажиллах үүрэгтэй. </w:t>
      </w:r>
    </w:p>
    <w:p w14:paraId="11CDE386" w14:textId="77777777" w:rsidR="00EA7EDA" w:rsidRPr="00EA7EDA" w:rsidRDefault="00EA7EDA" w:rsidP="00EA7EDA">
      <w:pPr>
        <w:pStyle w:val="Default"/>
        <w:widowControl w:val="0"/>
        <w:numPr>
          <w:ilvl w:val="1"/>
          <w:numId w:val="4"/>
        </w:numPr>
        <w:tabs>
          <w:tab w:val="left" w:pos="0"/>
          <w:tab w:val="left" w:pos="540"/>
          <w:tab w:val="left" w:pos="1134"/>
        </w:tabs>
        <w:spacing w:before="120" w:after="120" w:line="360" w:lineRule="auto"/>
        <w:ind w:left="0" w:firstLine="567"/>
        <w:jc w:val="both"/>
        <w:rPr>
          <w:noProof/>
          <w:color w:val="auto"/>
          <w:lang w:val="mn-MN"/>
        </w:rPr>
      </w:pPr>
      <w:r w:rsidRPr="00EA7EDA">
        <w:rPr>
          <w:noProof/>
          <w:color w:val="auto"/>
          <w:lang w:val="mn-MN"/>
        </w:rPr>
        <w:t>Активын ангилал, активын эрсдэлийн сан, эрсдэлийн сангийн зарцуулалтад тухайн ББСБ-ын дотоод хяналт хариуцсан нэгж /албан тушаалтан/ хяналт тавьж, Төлөөлөн удирдах зөвлөл /хувьцаа эзэмшигчдийн хурал/-д тайлагнана.</w:t>
      </w:r>
    </w:p>
    <w:p w14:paraId="229E55A3" w14:textId="77777777" w:rsidR="00EA7EDA" w:rsidRPr="00EA7EDA" w:rsidRDefault="00EA7EDA" w:rsidP="00EA7EDA">
      <w:pPr>
        <w:pStyle w:val="Default"/>
        <w:widowControl w:val="0"/>
        <w:numPr>
          <w:ilvl w:val="1"/>
          <w:numId w:val="4"/>
        </w:numPr>
        <w:tabs>
          <w:tab w:val="left" w:pos="0"/>
          <w:tab w:val="left" w:pos="540"/>
          <w:tab w:val="left" w:pos="1134"/>
        </w:tabs>
        <w:spacing w:before="120" w:after="120" w:line="360" w:lineRule="auto"/>
        <w:ind w:left="0" w:firstLine="567"/>
        <w:jc w:val="both"/>
        <w:rPr>
          <w:noProof/>
          <w:color w:val="auto"/>
          <w:lang w:val="mn-MN"/>
        </w:rPr>
      </w:pPr>
      <w:r w:rsidRPr="00EA7EDA">
        <w:rPr>
          <w:noProof/>
          <w:color w:val="auto"/>
          <w:lang w:val="mn-MN"/>
        </w:rPr>
        <w:t xml:space="preserve">Санхүүгийн зохицуулах хороо нь тухайн ББСБ-ын удирдлага активын эрсдэлийг хэрхэн үнэлж, дүгнэн ангилж, учирч болзошгүй эрсдэлээс хамгаалах талаар авч байгаа арга хэмжээ нь зохистой эсэх, ангиллыг үнэн зөв хийж байгаа эсэх, эрсдэлийн санг бүрэн байгуулж байгаа байдлыг газар дээр нь шалгаж, зайнаас хяналт тавина. </w:t>
      </w:r>
    </w:p>
    <w:p w14:paraId="2F480C68" w14:textId="77777777" w:rsidR="00EA7EDA" w:rsidRDefault="00EA7EDA" w:rsidP="00EA7EDA">
      <w:pPr>
        <w:pStyle w:val="Default"/>
        <w:widowControl w:val="0"/>
        <w:numPr>
          <w:ilvl w:val="1"/>
          <w:numId w:val="4"/>
        </w:numPr>
        <w:tabs>
          <w:tab w:val="left" w:pos="0"/>
          <w:tab w:val="left" w:pos="540"/>
          <w:tab w:val="left" w:pos="1134"/>
        </w:tabs>
        <w:spacing w:before="120" w:after="120" w:line="360" w:lineRule="auto"/>
        <w:ind w:left="0" w:firstLine="567"/>
        <w:jc w:val="both"/>
        <w:rPr>
          <w:color w:val="auto"/>
          <w:lang w:val="mn-MN"/>
        </w:rPr>
      </w:pPr>
      <w:r w:rsidRPr="00EA7EDA">
        <w:rPr>
          <w:noProof/>
          <w:color w:val="auto"/>
          <w:lang w:val="mn-MN"/>
        </w:rPr>
        <w:t>Санхүүгийн зохицуулах хороо нь ББСБ-ын үйл ажиллагаанд хийсэн газар дээрх шалгалтаар активыг энэ журмын дагуу ангилаагүй, холбогдох санг тогтоосон хувь хэмжээгээр байгуулаагүй, зориулалтын бусаар зарцуулсан нь нотлогдсон тохиолдолд буруутай этгээдэд хууль тогтоомжийн дагуу хариуцлага хүлээлгэнэ.</w:t>
      </w:r>
    </w:p>
    <w:p w14:paraId="153B9B69" w14:textId="77777777" w:rsidR="008A2823" w:rsidRDefault="008A2823" w:rsidP="008A2823">
      <w:pPr>
        <w:pStyle w:val="Default"/>
        <w:widowControl w:val="0"/>
        <w:tabs>
          <w:tab w:val="left" w:pos="0"/>
          <w:tab w:val="left" w:pos="540"/>
          <w:tab w:val="left" w:pos="1134"/>
        </w:tabs>
        <w:spacing w:before="120" w:after="120" w:line="360" w:lineRule="auto"/>
        <w:ind w:left="567"/>
        <w:jc w:val="both"/>
        <w:rPr>
          <w:noProof/>
          <w:color w:val="auto"/>
          <w:lang w:val="mn-MN"/>
        </w:rPr>
      </w:pPr>
    </w:p>
    <w:p w14:paraId="001D40B4" w14:textId="77777777" w:rsidR="008A2823" w:rsidRPr="008A2823" w:rsidRDefault="008A2823" w:rsidP="008A2823">
      <w:pPr>
        <w:pStyle w:val="Default"/>
        <w:widowControl w:val="0"/>
        <w:tabs>
          <w:tab w:val="left" w:pos="0"/>
          <w:tab w:val="left" w:pos="540"/>
          <w:tab w:val="left" w:pos="1134"/>
        </w:tabs>
        <w:spacing w:before="120" w:after="120" w:line="360" w:lineRule="auto"/>
        <w:ind w:left="567"/>
        <w:jc w:val="center"/>
        <w:rPr>
          <w:lang w:val="mn-MN"/>
        </w:rPr>
      </w:pPr>
      <w:r w:rsidRPr="008A2823">
        <w:rPr>
          <w:lang w:val="mn-MN"/>
        </w:rPr>
        <w:t>---о0о---</w:t>
      </w:r>
    </w:p>
    <w:p w14:paraId="2AC5C4D7" w14:textId="77777777" w:rsidR="008A2823" w:rsidRPr="00EA7EDA" w:rsidRDefault="008A2823" w:rsidP="008A2823">
      <w:pPr>
        <w:pStyle w:val="Default"/>
        <w:widowControl w:val="0"/>
        <w:tabs>
          <w:tab w:val="left" w:pos="0"/>
          <w:tab w:val="left" w:pos="540"/>
          <w:tab w:val="left" w:pos="1134"/>
        </w:tabs>
        <w:spacing w:before="120" w:after="120" w:line="360" w:lineRule="auto"/>
        <w:ind w:left="567"/>
        <w:jc w:val="both"/>
        <w:rPr>
          <w:color w:val="auto"/>
          <w:lang w:val="mn-MN"/>
        </w:rPr>
      </w:pPr>
    </w:p>
    <w:p w14:paraId="3FE15429" w14:textId="77777777" w:rsidR="009D40E7" w:rsidRPr="00532519" w:rsidRDefault="00EA7EDA" w:rsidP="00EA7EDA">
      <w:pPr>
        <w:pStyle w:val="Default"/>
        <w:widowControl w:val="0"/>
        <w:tabs>
          <w:tab w:val="left" w:pos="540"/>
        </w:tabs>
        <w:jc w:val="right"/>
        <w:rPr>
          <w:noProof/>
          <w:color w:val="auto"/>
          <w:lang w:val="mn-MN"/>
        </w:rPr>
      </w:pPr>
      <w:r w:rsidRPr="00EA7EDA">
        <w:rPr>
          <w:b/>
          <w:i/>
          <w:noProof/>
          <w:color w:val="auto"/>
          <w:lang w:val="mn-MN"/>
        </w:rPr>
        <w:br w:type="page"/>
      </w:r>
      <w:r w:rsidR="009D40E7" w:rsidRPr="00532519">
        <w:rPr>
          <w:noProof/>
          <w:color w:val="auto"/>
          <w:lang w:val="mn-MN"/>
        </w:rPr>
        <w:lastRenderedPageBreak/>
        <w:t xml:space="preserve">Санхүүгийн зохицуулах хорооны 2020 оны </w:t>
      </w:r>
    </w:p>
    <w:p w14:paraId="1A20AB04" w14:textId="3C41A06D" w:rsidR="009D40E7" w:rsidRPr="00532519" w:rsidRDefault="009D40E7" w:rsidP="009D40E7">
      <w:pPr>
        <w:pStyle w:val="Default"/>
        <w:widowControl w:val="0"/>
        <w:tabs>
          <w:tab w:val="left" w:pos="540"/>
        </w:tabs>
        <w:jc w:val="right"/>
        <w:rPr>
          <w:noProof/>
          <w:color w:val="auto"/>
          <w:lang w:val="mn-MN"/>
        </w:rPr>
      </w:pPr>
      <w:r w:rsidRPr="00532519">
        <w:rPr>
          <w:noProof/>
          <w:color w:val="auto"/>
          <w:lang w:val="mn-MN"/>
        </w:rPr>
        <w:t>…</w:t>
      </w:r>
      <w:r w:rsidR="008A2823" w:rsidRPr="00532519">
        <w:rPr>
          <w:noProof/>
          <w:color w:val="auto"/>
          <w:lang w:val="mn-MN"/>
        </w:rPr>
        <w:t xml:space="preserve"> дугаа</w:t>
      </w:r>
      <w:r w:rsidRPr="00532519">
        <w:rPr>
          <w:noProof/>
          <w:color w:val="auto"/>
          <w:lang w:val="mn-MN"/>
        </w:rPr>
        <w:t>р сарын …-ний өдрийн …</w:t>
      </w:r>
      <w:r w:rsidRPr="009D40E7">
        <w:rPr>
          <w:noProof/>
          <w:color w:val="auto"/>
          <w:lang w:val="mn-MN"/>
        </w:rPr>
        <w:t>.</w:t>
      </w:r>
      <w:r w:rsidRPr="00532519">
        <w:rPr>
          <w:noProof/>
          <w:color w:val="auto"/>
          <w:lang w:val="mn-MN"/>
        </w:rPr>
        <w:t xml:space="preserve"> </w:t>
      </w:r>
      <w:r>
        <w:rPr>
          <w:noProof/>
          <w:color w:val="auto"/>
          <w:lang w:val="mn-MN"/>
        </w:rPr>
        <w:t xml:space="preserve"> </w:t>
      </w:r>
      <w:r w:rsidR="008A2823" w:rsidRPr="00532519">
        <w:rPr>
          <w:noProof/>
          <w:color w:val="auto"/>
          <w:lang w:val="mn-MN"/>
        </w:rPr>
        <w:t>д</w:t>
      </w:r>
      <w:r w:rsidRPr="00532519">
        <w:rPr>
          <w:noProof/>
          <w:color w:val="auto"/>
          <w:lang w:val="mn-MN"/>
        </w:rPr>
        <w:t>угаар</w:t>
      </w:r>
    </w:p>
    <w:p w14:paraId="7D3D8145" w14:textId="77777777" w:rsidR="009D40E7" w:rsidRDefault="009D40E7" w:rsidP="009D40E7">
      <w:pPr>
        <w:pStyle w:val="Default"/>
        <w:widowControl w:val="0"/>
        <w:tabs>
          <w:tab w:val="left" w:pos="540"/>
        </w:tabs>
        <w:jc w:val="right"/>
        <w:rPr>
          <w:color w:val="auto"/>
          <w:lang w:val="mn-MN"/>
        </w:rPr>
      </w:pPr>
      <w:r w:rsidRPr="00532519">
        <w:rPr>
          <w:noProof/>
          <w:color w:val="auto"/>
          <w:lang w:val="mn-MN"/>
        </w:rPr>
        <w:t>тогтоолоор баталсан</w:t>
      </w:r>
      <w:r w:rsidRPr="00532519">
        <w:rPr>
          <w:b/>
          <w:i/>
          <w:noProof/>
          <w:color w:val="auto"/>
          <w:lang w:val="mn-MN"/>
        </w:rPr>
        <w:t xml:space="preserve"> </w:t>
      </w:r>
      <w:r w:rsidR="00EA7EDA" w:rsidRPr="009D40E7">
        <w:rPr>
          <w:noProof/>
          <w:color w:val="auto"/>
          <w:lang w:val="mn-MN"/>
        </w:rPr>
        <w:t>“Б</w:t>
      </w:r>
      <w:r w:rsidR="00EA7EDA" w:rsidRPr="009D40E7">
        <w:rPr>
          <w:color w:val="auto"/>
          <w:lang w:val="mn-MN"/>
        </w:rPr>
        <w:t xml:space="preserve">анк бус санхүүгийн </w:t>
      </w:r>
    </w:p>
    <w:p w14:paraId="1C82FB4F" w14:textId="3CB44ADE" w:rsidR="009D40E7" w:rsidRDefault="00EA7EDA" w:rsidP="009D40E7">
      <w:pPr>
        <w:pStyle w:val="Default"/>
        <w:widowControl w:val="0"/>
        <w:tabs>
          <w:tab w:val="left" w:pos="540"/>
        </w:tabs>
        <w:jc w:val="right"/>
        <w:rPr>
          <w:color w:val="auto"/>
          <w:lang w:val="mn-MN"/>
        </w:rPr>
      </w:pPr>
      <w:r w:rsidRPr="009D40E7">
        <w:rPr>
          <w:color w:val="auto"/>
          <w:lang w:val="mn-MN"/>
        </w:rPr>
        <w:t>байгууллагын</w:t>
      </w:r>
      <w:r w:rsidR="008A2823">
        <w:rPr>
          <w:color w:val="auto"/>
          <w:lang w:val="mn-MN"/>
        </w:rPr>
        <w:t xml:space="preserve"> </w:t>
      </w:r>
      <w:r w:rsidRPr="009D40E7">
        <w:rPr>
          <w:color w:val="auto"/>
          <w:lang w:val="mn-MN"/>
        </w:rPr>
        <w:t>акти</w:t>
      </w:r>
      <w:r w:rsidR="003E5893" w:rsidRPr="009D40E7">
        <w:rPr>
          <w:color w:val="auto"/>
          <w:lang w:val="mn-MN"/>
        </w:rPr>
        <w:t xml:space="preserve">выг ангилах, активын эрсдэлийн </w:t>
      </w:r>
    </w:p>
    <w:p w14:paraId="0C6B590E" w14:textId="752967CA" w:rsidR="00EA7EDA" w:rsidRPr="00532519" w:rsidRDefault="00EA7EDA" w:rsidP="009D40E7">
      <w:pPr>
        <w:pStyle w:val="Default"/>
        <w:widowControl w:val="0"/>
        <w:tabs>
          <w:tab w:val="left" w:pos="540"/>
        </w:tabs>
        <w:jc w:val="right"/>
        <w:rPr>
          <w:noProof/>
          <w:color w:val="auto"/>
          <w:lang w:val="mn-MN"/>
        </w:rPr>
      </w:pPr>
      <w:r w:rsidRPr="009D40E7">
        <w:rPr>
          <w:color w:val="auto"/>
          <w:lang w:val="mn-MN"/>
        </w:rPr>
        <w:t xml:space="preserve">сан </w:t>
      </w:r>
      <w:r w:rsidRPr="009D40E7">
        <w:rPr>
          <w:lang w:val="mn-MN"/>
        </w:rPr>
        <w:t>байгуулж, зарцуулах журам”-ын хавсралт</w:t>
      </w:r>
    </w:p>
    <w:p w14:paraId="0B012E5F" w14:textId="77777777" w:rsidR="002B2C22" w:rsidRDefault="002B2C22" w:rsidP="003338AD">
      <w:pPr>
        <w:spacing w:before="120" w:after="120" w:line="360" w:lineRule="auto"/>
        <w:jc w:val="center"/>
        <w:rPr>
          <w:noProof/>
          <w:lang w:val="mn-MN"/>
        </w:rPr>
      </w:pPr>
    </w:p>
    <w:p w14:paraId="0D44350C" w14:textId="649D8B98" w:rsidR="00EA7EDA" w:rsidRPr="00EA7EDA" w:rsidRDefault="00EA7EDA" w:rsidP="003338AD">
      <w:pPr>
        <w:spacing w:before="120" w:after="120" w:line="360" w:lineRule="auto"/>
        <w:jc w:val="center"/>
        <w:rPr>
          <w:noProof/>
          <w:lang w:val="mn-MN"/>
        </w:rPr>
      </w:pPr>
      <w:r w:rsidRPr="00EA7EDA">
        <w:rPr>
          <w:noProof/>
          <w:lang w:val="mn-MN"/>
        </w:rPr>
        <w:t>АКТИВЫН ХУГАЦААНЫ ҮЗҮҮЛЭЛТИЙГ ДҮГНЭХ ХҮСНЭГТ</w:t>
      </w:r>
    </w:p>
    <w:tbl>
      <w:tblPr>
        <w:tblStyle w:val="TableGridLight"/>
        <w:tblW w:w="10188" w:type="dxa"/>
        <w:jc w:val="center"/>
        <w:tblLook w:val="04A0" w:firstRow="1" w:lastRow="0" w:firstColumn="1" w:lastColumn="0" w:noHBand="0" w:noVBand="1"/>
      </w:tblPr>
      <w:tblGrid>
        <w:gridCol w:w="2565"/>
        <w:gridCol w:w="1067"/>
        <w:gridCol w:w="1296"/>
        <w:gridCol w:w="995"/>
        <w:gridCol w:w="1433"/>
        <w:gridCol w:w="2832"/>
      </w:tblGrid>
      <w:tr w:rsidR="00EA7EDA" w:rsidRPr="00EA7EDA" w14:paraId="0ACDFE3B" w14:textId="77777777" w:rsidTr="003338AD">
        <w:trPr>
          <w:trHeight w:val="300"/>
          <w:jc w:val="center"/>
        </w:trPr>
        <w:tc>
          <w:tcPr>
            <w:tcW w:w="2565" w:type="dxa"/>
            <w:shd w:val="clear" w:color="auto" w:fill="auto"/>
            <w:noWrap/>
            <w:vAlign w:val="center"/>
            <w:hideMark/>
          </w:tcPr>
          <w:p w14:paraId="0CB3C15D" w14:textId="77777777" w:rsidR="00EA7EDA" w:rsidRPr="003338AD" w:rsidRDefault="00EA7EDA" w:rsidP="003338AD">
            <w:pPr>
              <w:jc w:val="center"/>
              <w:rPr>
                <w:b/>
                <w:color w:val="000000"/>
                <w:sz w:val="22"/>
                <w:szCs w:val="22"/>
                <w:lang w:val="mn-MN"/>
              </w:rPr>
            </w:pPr>
            <w:r w:rsidRPr="003338AD">
              <w:rPr>
                <w:b/>
                <w:color w:val="000000"/>
                <w:sz w:val="22"/>
                <w:szCs w:val="22"/>
                <w:lang w:val="mn-MN"/>
              </w:rPr>
              <w:t>Ангилал</w:t>
            </w:r>
          </w:p>
        </w:tc>
        <w:tc>
          <w:tcPr>
            <w:tcW w:w="1067" w:type="dxa"/>
            <w:shd w:val="clear" w:color="auto" w:fill="auto"/>
            <w:noWrap/>
            <w:vAlign w:val="center"/>
            <w:hideMark/>
          </w:tcPr>
          <w:p w14:paraId="670DC282" w14:textId="77777777" w:rsidR="00EA7EDA" w:rsidRPr="003338AD" w:rsidRDefault="00EA7EDA" w:rsidP="003338AD">
            <w:pPr>
              <w:jc w:val="center"/>
              <w:rPr>
                <w:b/>
                <w:color w:val="000000"/>
                <w:sz w:val="22"/>
                <w:szCs w:val="22"/>
                <w:lang w:val="mn-MN"/>
              </w:rPr>
            </w:pPr>
            <w:r w:rsidRPr="003338AD">
              <w:rPr>
                <w:b/>
                <w:color w:val="000000"/>
                <w:sz w:val="22"/>
                <w:szCs w:val="22"/>
                <w:lang w:val="mn-MN"/>
              </w:rPr>
              <w:t>Хэвийн</w:t>
            </w:r>
          </w:p>
        </w:tc>
        <w:tc>
          <w:tcPr>
            <w:tcW w:w="1296" w:type="dxa"/>
            <w:shd w:val="clear" w:color="auto" w:fill="auto"/>
            <w:noWrap/>
            <w:vAlign w:val="center"/>
            <w:hideMark/>
          </w:tcPr>
          <w:p w14:paraId="15EBD823" w14:textId="77777777" w:rsidR="00EA7EDA" w:rsidRPr="003338AD" w:rsidRDefault="00EA7EDA" w:rsidP="003338AD">
            <w:pPr>
              <w:jc w:val="center"/>
              <w:rPr>
                <w:b/>
                <w:color w:val="000000"/>
                <w:sz w:val="22"/>
                <w:szCs w:val="22"/>
                <w:lang w:val="mn-MN"/>
              </w:rPr>
            </w:pPr>
            <w:r w:rsidRPr="003338AD">
              <w:rPr>
                <w:b/>
                <w:color w:val="000000"/>
                <w:sz w:val="22"/>
                <w:szCs w:val="22"/>
                <w:lang w:val="mn-MN"/>
              </w:rPr>
              <w:t>Анхаарал хандуулах</w:t>
            </w:r>
          </w:p>
        </w:tc>
        <w:tc>
          <w:tcPr>
            <w:tcW w:w="995" w:type="dxa"/>
            <w:shd w:val="clear" w:color="auto" w:fill="auto"/>
            <w:noWrap/>
            <w:vAlign w:val="center"/>
            <w:hideMark/>
          </w:tcPr>
          <w:p w14:paraId="13CF6134" w14:textId="77777777" w:rsidR="00EA7EDA" w:rsidRPr="003338AD" w:rsidRDefault="00EA7EDA" w:rsidP="003338AD">
            <w:pPr>
              <w:jc w:val="center"/>
              <w:rPr>
                <w:b/>
                <w:color w:val="000000"/>
                <w:sz w:val="22"/>
                <w:szCs w:val="22"/>
                <w:lang w:val="mn-MN"/>
              </w:rPr>
            </w:pPr>
            <w:r w:rsidRPr="003338AD">
              <w:rPr>
                <w:b/>
                <w:color w:val="000000"/>
                <w:sz w:val="22"/>
                <w:szCs w:val="22"/>
                <w:lang w:val="mn-MN"/>
              </w:rPr>
              <w:t>Хэвийн бус</w:t>
            </w:r>
          </w:p>
        </w:tc>
        <w:tc>
          <w:tcPr>
            <w:tcW w:w="1433" w:type="dxa"/>
            <w:shd w:val="clear" w:color="auto" w:fill="auto"/>
            <w:noWrap/>
            <w:vAlign w:val="center"/>
            <w:hideMark/>
          </w:tcPr>
          <w:p w14:paraId="15D0BAFF" w14:textId="77777777" w:rsidR="00EA7EDA" w:rsidRPr="003338AD" w:rsidRDefault="00EA7EDA" w:rsidP="003338AD">
            <w:pPr>
              <w:jc w:val="center"/>
              <w:rPr>
                <w:b/>
                <w:color w:val="000000"/>
                <w:sz w:val="22"/>
                <w:szCs w:val="22"/>
                <w:lang w:val="mn-MN"/>
              </w:rPr>
            </w:pPr>
            <w:r w:rsidRPr="003338AD">
              <w:rPr>
                <w:b/>
                <w:color w:val="000000"/>
                <w:sz w:val="22"/>
                <w:szCs w:val="22"/>
                <w:lang w:val="mn-MN"/>
              </w:rPr>
              <w:t>Эргэлзээтэй</w:t>
            </w:r>
          </w:p>
        </w:tc>
        <w:tc>
          <w:tcPr>
            <w:tcW w:w="2832" w:type="dxa"/>
            <w:shd w:val="clear" w:color="auto" w:fill="auto"/>
            <w:noWrap/>
            <w:vAlign w:val="center"/>
            <w:hideMark/>
          </w:tcPr>
          <w:p w14:paraId="03A27779" w14:textId="77777777" w:rsidR="00EA7EDA" w:rsidRPr="003338AD" w:rsidRDefault="00EA7EDA" w:rsidP="003338AD">
            <w:pPr>
              <w:jc w:val="center"/>
              <w:rPr>
                <w:b/>
                <w:color w:val="000000"/>
                <w:sz w:val="22"/>
                <w:szCs w:val="22"/>
                <w:lang w:val="mn-MN"/>
              </w:rPr>
            </w:pPr>
            <w:r w:rsidRPr="003338AD">
              <w:rPr>
                <w:b/>
                <w:color w:val="000000"/>
                <w:sz w:val="22"/>
                <w:szCs w:val="22"/>
                <w:lang w:val="mn-MN"/>
              </w:rPr>
              <w:t>Муу</w:t>
            </w:r>
          </w:p>
        </w:tc>
      </w:tr>
      <w:tr w:rsidR="00EA7EDA" w:rsidRPr="00532519" w14:paraId="1288A333" w14:textId="77777777" w:rsidTr="003338AD">
        <w:trPr>
          <w:trHeight w:val="300"/>
          <w:jc w:val="center"/>
        </w:trPr>
        <w:tc>
          <w:tcPr>
            <w:tcW w:w="2565" w:type="dxa"/>
            <w:shd w:val="clear" w:color="auto" w:fill="auto"/>
            <w:noWrap/>
            <w:vAlign w:val="center"/>
            <w:hideMark/>
          </w:tcPr>
          <w:p w14:paraId="1B9EC36D" w14:textId="77777777" w:rsidR="00EA7EDA" w:rsidRPr="003338AD" w:rsidRDefault="00EA7EDA" w:rsidP="00A47705">
            <w:pPr>
              <w:rPr>
                <w:color w:val="000000"/>
                <w:sz w:val="22"/>
                <w:szCs w:val="22"/>
                <w:lang w:val="mn-MN"/>
              </w:rPr>
            </w:pPr>
            <w:r w:rsidRPr="003338AD">
              <w:rPr>
                <w:color w:val="000000"/>
                <w:sz w:val="22"/>
                <w:szCs w:val="22"/>
                <w:lang w:val="mn-MN"/>
              </w:rPr>
              <w:t>Зээл, факторинг</w:t>
            </w:r>
          </w:p>
        </w:tc>
        <w:tc>
          <w:tcPr>
            <w:tcW w:w="1067" w:type="dxa"/>
            <w:shd w:val="clear" w:color="auto" w:fill="auto"/>
            <w:noWrap/>
            <w:vAlign w:val="center"/>
            <w:hideMark/>
          </w:tcPr>
          <w:p w14:paraId="34BBE399" w14:textId="77777777" w:rsidR="00EA7EDA" w:rsidRPr="003338AD" w:rsidRDefault="00EA7EDA" w:rsidP="00A47705">
            <w:pPr>
              <w:rPr>
                <w:color w:val="000000"/>
                <w:sz w:val="22"/>
                <w:szCs w:val="22"/>
                <w:lang w:val="mn-MN"/>
              </w:rPr>
            </w:pPr>
            <w:r w:rsidRPr="00EA7EDA">
              <w:rPr>
                <w:color w:val="000000"/>
                <w:sz w:val="22"/>
                <w:szCs w:val="22"/>
                <w:lang w:val="mn-MN"/>
              </w:rPr>
              <w:t>30 хоног хүртэл</w:t>
            </w:r>
          </w:p>
        </w:tc>
        <w:tc>
          <w:tcPr>
            <w:tcW w:w="1296" w:type="dxa"/>
            <w:shd w:val="clear" w:color="auto" w:fill="auto"/>
            <w:noWrap/>
            <w:vAlign w:val="center"/>
            <w:hideMark/>
          </w:tcPr>
          <w:p w14:paraId="2717247F" w14:textId="77777777" w:rsidR="00EA7EDA" w:rsidRPr="003338AD" w:rsidRDefault="00EA7EDA" w:rsidP="003338AD">
            <w:pPr>
              <w:jc w:val="center"/>
              <w:rPr>
                <w:color w:val="000000"/>
                <w:sz w:val="22"/>
                <w:szCs w:val="22"/>
                <w:lang w:val="mn-MN"/>
              </w:rPr>
            </w:pPr>
            <w:r w:rsidRPr="003338AD">
              <w:rPr>
                <w:color w:val="000000"/>
                <w:sz w:val="22"/>
                <w:szCs w:val="22"/>
                <w:lang w:val="mn-MN"/>
              </w:rPr>
              <w:t>90</w:t>
            </w:r>
            <w:r w:rsidRPr="00EA7EDA">
              <w:rPr>
                <w:color w:val="000000"/>
                <w:sz w:val="22"/>
                <w:szCs w:val="22"/>
                <w:lang w:val="mn-MN"/>
              </w:rPr>
              <w:t xml:space="preserve"> </w:t>
            </w:r>
            <w:r w:rsidRPr="003338AD">
              <w:rPr>
                <w:color w:val="000000"/>
                <w:sz w:val="22"/>
                <w:szCs w:val="22"/>
                <w:lang w:val="mn-MN"/>
              </w:rPr>
              <w:t>хоног хүртэл</w:t>
            </w:r>
          </w:p>
        </w:tc>
        <w:tc>
          <w:tcPr>
            <w:tcW w:w="995" w:type="dxa"/>
            <w:shd w:val="clear" w:color="auto" w:fill="auto"/>
            <w:noWrap/>
            <w:vAlign w:val="center"/>
            <w:hideMark/>
          </w:tcPr>
          <w:p w14:paraId="3DDFF3A7" w14:textId="77777777" w:rsidR="00EA7EDA" w:rsidRPr="003338AD" w:rsidRDefault="00EA7EDA" w:rsidP="003338AD">
            <w:pPr>
              <w:jc w:val="center"/>
              <w:rPr>
                <w:color w:val="000000"/>
                <w:sz w:val="22"/>
                <w:szCs w:val="22"/>
                <w:lang w:val="mn-MN"/>
              </w:rPr>
            </w:pPr>
            <w:r w:rsidRPr="003338AD">
              <w:rPr>
                <w:color w:val="000000"/>
                <w:sz w:val="22"/>
                <w:szCs w:val="22"/>
                <w:lang w:val="mn-MN"/>
              </w:rPr>
              <w:t>91-180</w:t>
            </w:r>
          </w:p>
        </w:tc>
        <w:tc>
          <w:tcPr>
            <w:tcW w:w="1433" w:type="dxa"/>
            <w:shd w:val="clear" w:color="auto" w:fill="auto"/>
            <w:noWrap/>
            <w:vAlign w:val="center"/>
            <w:hideMark/>
          </w:tcPr>
          <w:p w14:paraId="53932D80" w14:textId="77777777" w:rsidR="00EA7EDA" w:rsidRPr="003338AD" w:rsidRDefault="003E5893" w:rsidP="003338AD">
            <w:pPr>
              <w:jc w:val="center"/>
              <w:rPr>
                <w:color w:val="000000"/>
                <w:sz w:val="22"/>
                <w:szCs w:val="22"/>
                <w:lang w:val="mn-MN"/>
              </w:rPr>
            </w:pPr>
            <w:r>
              <w:rPr>
                <w:color w:val="000000"/>
                <w:sz w:val="22"/>
                <w:szCs w:val="22"/>
                <w:lang w:val="mn-MN"/>
              </w:rPr>
              <w:t>1</w:t>
            </w:r>
            <w:r w:rsidR="00EA7EDA" w:rsidRPr="003338AD">
              <w:rPr>
                <w:color w:val="000000"/>
                <w:sz w:val="22"/>
                <w:szCs w:val="22"/>
                <w:lang w:val="mn-MN"/>
              </w:rPr>
              <w:t>81-361</w:t>
            </w:r>
          </w:p>
        </w:tc>
        <w:tc>
          <w:tcPr>
            <w:tcW w:w="2832" w:type="dxa"/>
            <w:shd w:val="clear" w:color="auto" w:fill="auto"/>
            <w:noWrap/>
            <w:vAlign w:val="center"/>
            <w:hideMark/>
          </w:tcPr>
          <w:p w14:paraId="50456D8D" w14:textId="77777777" w:rsidR="00EA7EDA" w:rsidRPr="003338AD" w:rsidRDefault="00EA7EDA" w:rsidP="00A47705">
            <w:pPr>
              <w:rPr>
                <w:color w:val="000000"/>
                <w:sz w:val="22"/>
                <w:szCs w:val="22"/>
                <w:lang w:val="mn-MN"/>
              </w:rPr>
            </w:pPr>
            <w:r w:rsidRPr="003338AD">
              <w:rPr>
                <w:color w:val="000000"/>
                <w:sz w:val="22"/>
                <w:szCs w:val="22"/>
                <w:lang w:val="mn-MN"/>
              </w:rPr>
              <w:t xml:space="preserve">361-ээс дээш хонох үндсэн төлбөр, хүүгийн төлбөр хийгдээгүй </w:t>
            </w:r>
          </w:p>
        </w:tc>
      </w:tr>
      <w:tr w:rsidR="00EA7EDA" w:rsidRPr="00532519" w14:paraId="5733B52F" w14:textId="77777777" w:rsidTr="003338AD">
        <w:trPr>
          <w:trHeight w:val="300"/>
          <w:jc w:val="center"/>
        </w:trPr>
        <w:tc>
          <w:tcPr>
            <w:tcW w:w="2565" w:type="dxa"/>
            <w:shd w:val="clear" w:color="auto" w:fill="auto"/>
            <w:noWrap/>
            <w:vAlign w:val="center"/>
            <w:hideMark/>
          </w:tcPr>
          <w:p w14:paraId="1EE9A15D" w14:textId="77777777" w:rsidR="00EA7EDA" w:rsidRPr="003338AD" w:rsidRDefault="00EA7EDA" w:rsidP="00A47705">
            <w:pPr>
              <w:rPr>
                <w:color w:val="000000"/>
                <w:sz w:val="22"/>
                <w:szCs w:val="22"/>
                <w:lang w:val="mn-MN"/>
              </w:rPr>
            </w:pPr>
            <w:r w:rsidRPr="003338AD">
              <w:rPr>
                <w:color w:val="000000"/>
                <w:sz w:val="22"/>
                <w:szCs w:val="22"/>
                <w:lang w:val="mn-MN"/>
              </w:rPr>
              <w:t xml:space="preserve">Хувьцаа болон түүнтэй адилтган тооцох үнэт цааснаас бусад үнэт цаас </w:t>
            </w:r>
          </w:p>
        </w:tc>
        <w:tc>
          <w:tcPr>
            <w:tcW w:w="1067" w:type="dxa"/>
            <w:shd w:val="clear" w:color="auto" w:fill="auto"/>
            <w:noWrap/>
            <w:vAlign w:val="center"/>
            <w:hideMark/>
          </w:tcPr>
          <w:p w14:paraId="03E02B5B" w14:textId="77777777" w:rsidR="00EA7EDA" w:rsidRPr="003338AD" w:rsidRDefault="00EA7EDA" w:rsidP="00A47705">
            <w:pPr>
              <w:rPr>
                <w:color w:val="000000"/>
                <w:sz w:val="22"/>
                <w:szCs w:val="22"/>
                <w:lang w:val="mn-MN"/>
              </w:rPr>
            </w:pPr>
            <w:r w:rsidRPr="00EA7EDA">
              <w:rPr>
                <w:color w:val="000000"/>
                <w:sz w:val="22"/>
                <w:szCs w:val="22"/>
                <w:lang w:val="mn-MN"/>
              </w:rPr>
              <w:t>15 хоног хүртэл</w:t>
            </w:r>
          </w:p>
        </w:tc>
        <w:tc>
          <w:tcPr>
            <w:tcW w:w="1296" w:type="dxa"/>
            <w:shd w:val="clear" w:color="auto" w:fill="auto"/>
            <w:noWrap/>
            <w:vAlign w:val="center"/>
            <w:hideMark/>
          </w:tcPr>
          <w:p w14:paraId="49EBE8DF" w14:textId="77777777" w:rsidR="00EA7EDA" w:rsidRPr="003338AD" w:rsidRDefault="00EA7EDA" w:rsidP="003338AD">
            <w:pPr>
              <w:jc w:val="center"/>
              <w:rPr>
                <w:color w:val="000000"/>
                <w:sz w:val="22"/>
                <w:szCs w:val="22"/>
                <w:lang w:val="mn-MN"/>
              </w:rPr>
            </w:pPr>
            <w:r w:rsidRPr="003338AD">
              <w:rPr>
                <w:color w:val="000000"/>
                <w:sz w:val="22"/>
                <w:szCs w:val="22"/>
                <w:lang w:val="mn-MN"/>
              </w:rPr>
              <w:t>30 хоног хүртэл</w:t>
            </w:r>
          </w:p>
        </w:tc>
        <w:tc>
          <w:tcPr>
            <w:tcW w:w="995" w:type="dxa"/>
            <w:shd w:val="clear" w:color="auto" w:fill="auto"/>
            <w:noWrap/>
            <w:vAlign w:val="center"/>
            <w:hideMark/>
          </w:tcPr>
          <w:p w14:paraId="7A51904B" w14:textId="77777777" w:rsidR="00EA7EDA" w:rsidRPr="003338AD" w:rsidRDefault="00EA7EDA" w:rsidP="003338AD">
            <w:pPr>
              <w:jc w:val="center"/>
              <w:rPr>
                <w:color w:val="000000"/>
                <w:sz w:val="22"/>
                <w:szCs w:val="22"/>
                <w:lang w:val="mn-MN"/>
              </w:rPr>
            </w:pPr>
            <w:r w:rsidRPr="003338AD">
              <w:rPr>
                <w:color w:val="000000"/>
                <w:sz w:val="22"/>
                <w:szCs w:val="22"/>
                <w:lang w:val="mn-MN"/>
              </w:rPr>
              <w:t>31-60</w:t>
            </w:r>
          </w:p>
        </w:tc>
        <w:tc>
          <w:tcPr>
            <w:tcW w:w="1433" w:type="dxa"/>
            <w:shd w:val="clear" w:color="auto" w:fill="auto"/>
            <w:noWrap/>
            <w:vAlign w:val="center"/>
            <w:hideMark/>
          </w:tcPr>
          <w:p w14:paraId="261992EC" w14:textId="77777777" w:rsidR="00EA7EDA" w:rsidRPr="003338AD" w:rsidRDefault="00EA7EDA" w:rsidP="003338AD">
            <w:pPr>
              <w:jc w:val="center"/>
              <w:rPr>
                <w:color w:val="000000"/>
                <w:sz w:val="22"/>
                <w:szCs w:val="22"/>
                <w:lang w:val="mn-MN"/>
              </w:rPr>
            </w:pPr>
            <w:r w:rsidRPr="003338AD">
              <w:rPr>
                <w:color w:val="000000"/>
                <w:sz w:val="22"/>
                <w:szCs w:val="22"/>
                <w:lang w:val="mn-MN"/>
              </w:rPr>
              <w:t>61-90</w:t>
            </w:r>
          </w:p>
        </w:tc>
        <w:tc>
          <w:tcPr>
            <w:tcW w:w="2832" w:type="dxa"/>
            <w:shd w:val="clear" w:color="auto" w:fill="auto"/>
            <w:noWrap/>
            <w:vAlign w:val="center"/>
            <w:hideMark/>
          </w:tcPr>
          <w:p w14:paraId="3E261D02" w14:textId="77777777" w:rsidR="00EA7EDA" w:rsidRPr="003338AD" w:rsidRDefault="00EA7EDA" w:rsidP="00A47705">
            <w:pPr>
              <w:rPr>
                <w:color w:val="000000"/>
                <w:sz w:val="22"/>
                <w:szCs w:val="22"/>
                <w:lang w:val="mn-MN"/>
              </w:rPr>
            </w:pPr>
            <w:r w:rsidRPr="003338AD">
              <w:rPr>
                <w:color w:val="000000"/>
                <w:sz w:val="22"/>
                <w:szCs w:val="22"/>
                <w:lang w:val="mn-MN"/>
              </w:rPr>
              <w:t>91-ээш дээш хоног үнэт цаас, үнэт цаасны хүүгийн эргэн төлөлт хийгдээгүй</w:t>
            </w:r>
          </w:p>
        </w:tc>
      </w:tr>
      <w:tr w:rsidR="00EA7EDA" w:rsidRPr="00EA7EDA" w14:paraId="7372FC88" w14:textId="77777777" w:rsidTr="003338AD">
        <w:trPr>
          <w:trHeight w:val="300"/>
          <w:jc w:val="center"/>
        </w:trPr>
        <w:tc>
          <w:tcPr>
            <w:tcW w:w="2565" w:type="dxa"/>
            <w:shd w:val="clear" w:color="auto" w:fill="auto"/>
            <w:noWrap/>
            <w:vAlign w:val="center"/>
            <w:hideMark/>
          </w:tcPr>
          <w:p w14:paraId="75BAB5A5" w14:textId="77777777" w:rsidR="00EA7EDA" w:rsidRPr="003338AD" w:rsidRDefault="00EA7EDA" w:rsidP="00A47705">
            <w:pPr>
              <w:rPr>
                <w:color w:val="000000"/>
                <w:sz w:val="22"/>
                <w:szCs w:val="22"/>
                <w:lang w:val="mn-MN"/>
              </w:rPr>
            </w:pPr>
            <w:r w:rsidRPr="003338AD">
              <w:rPr>
                <w:color w:val="000000"/>
                <w:sz w:val="22"/>
                <w:szCs w:val="22"/>
                <w:lang w:val="mn-MN"/>
              </w:rPr>
              <w:t>Өмчлөх бусад хөрөнгө</w:t>
            </w:r>
          </w:p>
        </w:tc>
        <w:tc>
          <w:tcPr>
            <w:tcW w:w="1067" w:type="dxa"/>
            <w:shd w:val="clear" w:color="auto" w:fill="auto"/>
            <w:noWrap/>
            <w:vAlign w:val="center"/>
            <w:hideMark/>
          </w:tcPr>
          <w:p w14:paraId="16D77886" w14:textId="77777777" w:rsidR="00EA7EDA" w:rsidRPr="003338AD" w:rsidRDefault="00EA7EDA" w:rsidP="00A47705">
            <w:pPr>
              <w:rPr>
                <w:color w:val="000000"/>
                <w:sz w:val="22"/>
                <w:szCs w:val="22"/>
                <w:lang w:val="mn-MN"/>
              </w:rPr>
            </w:pPr>
            <w:r w:rsidRPr="003338AD">
              <w:rPr>
                <w:color w:val="000000"/>
                <w:sz w:val="22"/>
                <w:szCs w:val="22"/>
                <w:lang w:val="mn-MN"/>
              </w:rPr>
              <w:t xml:space="preserve">30 хоног хүртэл </w:t>
            </w:r>
          </w:p>
        </w:tc>
        <w:tc>
          <w:tcPr>
            <w:tcW w:w="1296" w:type="dxa"/>
            <w:shd w:val="clear" w:color="auto" w:fill="auto"/>
            <w:noWrap/>
            <w:vAlign w:val="center"/>
            <w:hideMark/>
          </w:tcPr>
          <w:p w14:paraId="633770A3" w14:textId="77777777" w:rsidR="00EA7EDA" w:rsidRPr="003338AD" w:rsidRDefault="00EA7EDA" w:rsidP="003338AD">
            <w:pPr>
              <w:jc w:val="center"/>
              <w:rPr>
                <w:color w:val="000000"/>
                <w:sz w:val="22"/>
                <w:szCs w:val="22"/>
                <w:lang w:val="mn-MN"/>
              </w:rPr>
            </w:pPr>
            <w:r w:rsidRPr="003338AD">
              <w:rPr>
                <w:color w:val="000000"/>
                <w:sz w:val="22"/>
                <w:szCs w:val="22"/>
                <w:lang w:val="mn-MN"/>
              </w:rPr>
              <w:t>31-60</w:t>
            </w:r>
          </w:p>
        </w:tc>
        <w:tc>
          <w:tcPr>
            <w:tcW w:w="995" w:type="dxa"/>
            <w:shd w:val="clear" w:color="auto" w:fill="auto"/>
            <w:noWrap/>
            <w:vAlign w:val="center"/>
            <w:hideMark/>
          </w:tcPr>
          <w:p w14:paraId="60E913C0" w14:textId="77777777" w:rsidR="00EA7EDA" w:rsidRPr="003338AD" w:rsidRDefault="00EA7EDA" w:rsidP="003338AD">
            <w:pPr>
              <w:jc w:val="center"/>
              <w:rPr>
                <w:color w:val="000000"/>
                <w:sz w:val="22"/>
                <w:szCs w:val="22"/>
                <w:lang w:val="mn-MN"/>
              </w:rPr>
            </w:pPr>
            <w:r w:rsidRPr="003338AD">
              <w:rPr>
                <w:color w:val="000000"/>
                <w:sz w:val="22"/>
                <w:szCs w:val="22"/>
                <w:lang w:val="mn-MN"/>
              </w:rPr>
              <w:t>61-90</w:t>
            </w:r>
          </w:p>
        </w:tc>
        <w:tc>
          <w:tcPr>
            <w:tcW w:w="1433" w:type="dxa"/>
            <w:shd w:val="clear" w:color="auto" w:fill="auto"/>
            <w:noWrap/>
            <w:vAlign w:val="center"/>
            <w:hideMark/>
          </w:tcPr>
          <w:p w14:paraId="68A79439" w14:textId="77777777" w:rsidR="00EA7EDA" w:rsidRPr="003338AD" w:rsidRDefault="00EA7EDA" w:rsidP="003338AD">
            <w:pPr>
              <w:jc w:val="center"/>
              <w:rPr>
                <w:color w:val="000000"/>
                <w:sz w:val="22"/>
                <w:szCs w:val="22"/>
                <w:lang w:val="mn-MN"/>
              </w:rPr>
            </w:pPr>
            <w:r w:rsidRPr="003338AD">
              <w:rPr>
                <w:color w:val="000000"/>
                <w:sz w:val="22"/>
                <w:szCs w:val="22"/>
                <w:lang w:val="mn-MN"/>
              </w:rPr>
              <w:t>91-120</w:t>
            </w:r>
          </w:p>
        </w:tc>
        <w:tc>
          <w:tcPr>
            <w:tcW w:w="2832" w:type="dxa"/>
            <w:shd w:val="clear" w:color="auto" w:fill="auto"/>
            <w:noWrap/>
            <w:vAlign w:val="center"/>
            <w:hideMark/>
          </w:tcPr>
          <w:p w14:paraId="7FEE48FD" w14:textId="77777777" w:rsidR="00EA7EDA" w:rsidRPr="003338AD" w:rsidRDefault="00EA7EDA" w:rsidP="00A47705">
            <w:pPr>
              <w:rPr>
                <w:color w:val="000000"/>
                <w:sz w:val="22"/>
                <w:szCs w:val="22"/>
                <w:lang w:val="mn-MN"/>
              </w:rPr>
            </w:pPr>
            <w:r w:rsidRPr="003338AD">
              <w:rPr>
                <w:color w:val="000000"/>
                <w:sz w:val="22"/>
                <w:szCs w:val="22"/>
                <w:lang w:val="mn-MN"/>
              </w:rPr>
              <w:t>121-ээш дээш хоног борлогдоогүй</w:t>
            </w:r>
          </w:p>
        </w:tc>
      </w:tr>
      <w:tr w:rsidR="00EA7EDA" w:rsidRPr="00532519" w14:paraId="4F2F204A" w14:textId="77777777" w:rsidTr="003338AD">
        <w:trPr>
          <w:trHeight w:val="300"/>
          <w:jc w:val="center"/>
        </w:trPr>
        <w:tc>
          <w:tcPr>
            <w:tcW w:w="2565" w:type="dxa"/>
            <w:shd w:val="clear" w:color="auto" w:fill="auto"/>
            <w:noWrap/>
            <w:vAlign w:val="center"/>
            <w:hideMark/>
          </w:tcPr>
          <w:p w14:paraId="1D4ED988" w14:textId="77777777" w:rsidR="00EA7EDA" w:rsidRPr="003338AD" w:rsidRDefault="00EA7EDA" w:rsidP="00A47705">
            <w:pPr>
              <w:rPr>
                <w:color w:val="000000"/>
                <w:sz w:val="22"/>
                <w:szCs w:val="22"/>
                <w:lang w:val="mn-MN"/>
              </w:rPr>
            </w:pPr>
            <w:r w:rsidRPr="003338AD">
              <w:rPr>
                <w:color w:val="000000"/>
                <w:sz w:val="22"/>
                <w:szCs w:val="22"/>
                <w:lang w:val="mn-MN"/>
              </w:rPr>
              <w:t>Авлага</w:t>
            </w:r>
          </w:p>
        </w:tc>
        <w:tc>
          <w:tcPr>
            <w:tcW w:w="1067" w:type="dxa"/>
            <w:shd w:val="clear" w:color="auto" w:fill="auto"/>
            <w:noWrap/>
            <w:vAlign w:val="center"/>
            <w:hideMark/>
          </w:tcPr>
          <w:p w14:paraId="74FBEE13" w14:textId="77777777" w:rsidR="00EA7EDA" w:rsidRPr="003338AD" w:rsidRDefault="00EA7EDA" w:rsidP="00A47705">
            <w:pPr>
              <w:rPr>
                <w:color w:val="000000"/>
                <w:sz w:val="22"/>
                <w:szCs w:val="22"/>
                <w:lang w:val="mn-MN"/>
              </w:rPr>
            </w:pPr>
            <w:r w:rsidRPr="003338AD">
              <w:rPr>
                <w:color w:val="000000"/>
                <w:sz w:val="22"/>
                <w:szCs w:val="22"/>
                <w:lang w:val="mn-MN"/>
              </w:rPr>
              <w:t xml:space="preserve">30 хоног хүртэл </w:t>
            </w:r>
          </w:p>
        </w:tc>
        <w:tc>
          <w:tcPr>
            <w:tcW w:w="1296" w:type="dxa"/>
            <w:shd w:val="clear" w:color="auto" w:fill="auto"/>
            <w:noWrap/>
            <w:vAlign w:val="center"/>
            <w:hideMark/>
          </w:tcPr>
          <w:p w14:paraId="7FE94D87" w14:textId="77777777" w:rsidR="00EA7EDA" w:rsidRPr="003338AD" w:rsidRDefault="00EA7EDA" w:rsidP="003338AD">
            <w:pPr>
              <w:jc w:val="center"/>
              <w:rPr>
                <w:color w:val="000000"/>
                <w:sz w:val="22"/>
                <w:szCs w:val="22"/>
                <w:lang w:val="mn-MN"/>
              </w:rPr>
            </w:pPr>
            <w:r w:rsidRPr="003338AD">
              <w:rPr>
                <w:color w:val="000000"/>
                <w:sz w:val="22"/>
                <w:szCs w:val="22"/>
                <w:lang w:val="mn-MN"/>
              </w:rPr>
              <w:t>31-60</w:t>
            </w:r>
          </w:p>
        </w:tc>
        <w:tc>
          <w:tcPr>
            <w:tcW w:w="995" w:type="dxa"/>
            <w:shd w:val="clear" w:color="auto" w:fill="auto"/>
            <w:noWrap/>
            <w:vAlign w:val="center"/>
            <w:hideMark/>
          </w:tcPr>
          <w:p w14:paraId="34503359" w14:textId="77777777" w:rsidR="00EA7EDA" w:rsidRPr="003338AD" w:rsidRDefault="00EA7EDA" w:rsidP="003338AD">
            <w:pPr>
              <w:jc w:val="center"/>
              <w:rPr>
                <w:color w:val="000000"/>
                <w:sz w:val="22"/>
                <w:szCs w:val="22"/>
                <w:lang w:val="mn-MN"/>
              </w:rPr>
            </w:pPr>
            <w:r w:rsidRPr="003338AD">
              <w:rPr>
                <w:color w:val="000000"/>
                <w:sz w:val="22"/>
                <w:szCs w:val="22"/>
                <w:lang w:val="mn-MN"/>
              </w:rPr>
              <w:t>61-90</w:t>
            </w:r>
          </w:p>
        </w:tc>
        <w:tc>
          <w:tcPr>
            <w:tcW w:w="1433" w:type="dxa"/>
            <w:shd w:val="clear" w:color="auto" w:fill="auto"/>
            <w:noWrap/>
            <w:vAlign w:val="center"/>
            <w:hideMark/>
          </w:tcPr>
          <w:p w14:paraId="03CEA830" w14:textId="77777777" w:rsidR="00EA7EDA" w:rsidRPr="003338AD" w:rsidRDefault="00EA7EDA" w:rsidP="003338AD">
            <w:pPr>
              <w:jc w:val="center"/>
              <w:rPr>
                <w:color w:val="000000"/>
                <w:sz w:val="22"/>
                <w:szCs w:val="22"/>
                <w:lang w:val="mn-MN"/>
              </w:rPr>
            </w:pPr>
            <w:r w:rsidRPr="003338AD">
              <w:rPr>
                <w:color w:val="000000"/>
                <w:sz w:val="22"/>
                <w:szCs w:val="22"/>
                <w:lang w:val="mn-MN"/>
              </w:rPr>
              <w:t>91-120</w:t>
            </w:r>
          </w:p>
        </w:tc>
        <w:tc>
          <w:tcPr>
            <w:tcW w:w="2832" w:type="dxa"/>
            <w:shd w:val="clear" w:color="auto" w:fill="auto"/>
            <w:noWrap/>
            <w:vAlign w:val="center"/>
            <w:hideMark/>
          </w:tcPr>
          <w:p w14:paraId="2A16FE86" w14:textId="77777777" w:rsidR="00EA7EDA" w:rsidRPr="003338AD" w:rsidRDefault="00EA7EDA" w:rsidP="00A47705">
            <w:pPr>
              <w:rPr>
                <w:color w:val="000000"/>
                <w:sz w:val="22"/>
                <w:szCs w:val="22"/>
                <w:lang w:val="mn-MN"/>
              </w:rPr>
            </w:pPr>
            <w:r w:rsidRPr="003338AD">
              <w:rPr>
                <w:color w:val="000000"/>
                <w:sz w:val="22"/>
                <w:szCs w:val="22"/>
                <w:lang w:val="mn-MN"/>
              </w:rPr>
              <w:t>121-ээш дээш хоног төлөгдөөгүй буюу, гэмт хэргийн улмаас бий болсон авлага</w:t>
            </w:r>
          </w:p>
        </w:tc>
      </w:tr>
    </w:tbl>
    <w:p w14:paraId="5DF686E8" w14:textId="77777777" w:rsidR="008D2A61" w:rsidRDefault="008D2A61">
      <w:pPr>
        <w:rPr>
          <w:lang w:val="mn-MN"/>
        </w:rPr>
      </w:pPr>
    </w:p>
    <w:p w14:paraId="6BA8F53F" w14:textId="77777777" w:rsidR="008A2823" w:rsidRDefault="008A2823">
      <w:pPr>
        <w:rPr>
          <w:lang w:val="mn-MN"/>
        </w:rPr>
      </w:pPr>
    </w:p>
    <w:p w14:paraId="4BD5607B" w14:textId="77777777" w:rsidR="008A2823" w:rsidRDefault="008A2823">
      <w:pPr>
        <w:rPr>
          <w:lang w:val="mn-MN"/>
        </w:rPr>
      </w:pPr>
    </w:p>
    <w:p w14:paraId="53E32C6B" w14:textId="77777777" w:rsidR="008A2823" w:rsidRDefault="008A2823">
      <w:pPr>
        <w:rPr>
          <w:lang w:val="mn-MN"/>
        </w:rPr>
      </w:pPr>
    </w:p>
    <w:p w14:paraId="4D2BE7A0" w14:textId="77777777" w:rsidR="008A2823" w:rsidRDefault="008A2823">
      <w:pPr>
        <w:rPr>
          <w:lang w:val="mn-MN"/>
        </w:rPr>
      </w:pPr>
    </w:p>
    <w:p w14:paraId="2861CE67" w14:textId="43C3E55D" w:rsidR="008A2823" w:rsidRPr="00EA7EDA" w:rsidRDefault="008A2823" w:rsidP="008A2823">
      <w:pPr>
        <w:jc w:val="center"/>
        <w:rPr>
          <w:lang w:val="mn-MN"/>
        </w:rPr>
      </w:pPr>
      <w:r>
        <w:rPr>
          <w:lang w:val="mn-MN"/>
        </w:rPr>
        <w:t>---о0о---</w:t>
      </w:r>
    </w:p>
    <w:sectPr w:rsidR="008A2823" w:rsidRPr="00EA7EDA" w:rsidSect="00EA7EDA">
      <w:headerReference w:type="even" r:id="rId7"/>
      <w:headerReference w:type="default" r:id="rId8"/>
      <w:footerReference w:type="even" r:id="rId9"/>
      <w:footerReference w:type="default" r:id="rId10"/>
      <w:headerReference w:type="first" r:id="rId11"/>
      <w:footerReference w:type="first" r:id="rId12"/>
      <w:pgSz w:w="11906" w:h="16838" w:code="9"/>
      <w:pgMar w:top="1134" w:right="851" w:bottom="1134" w:left="1701"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1B9A86" w14:textId="77777777" w:rsidR="00E52F42" w:rsidRDefault="00E52F42">
      <w:r>
        <w:separator/>
      </w:r>
    </w:p>
  </w:endnote>
  <w:endnote w:type="continuationSeparator" w:id="0">
    <w:p w14:paraId="19D36F0E" w14:textId="77777777" w:rsidR="00E52F42" w:rsidRDefault="00E52F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Mon">
    <w:altName w:val="Sitka Small"/>
    <w:charset w:val="00"/>
    <w:family w:val="roman"/>
    <w:pitch w:val="variable"/>
    <w:sig w:usb0="00000207" w:usb1="00000000" w:usb2="00000000" w:usb3="00000000" w:csb0="00000087"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C875E1" w14:textId="77777777" w:rsidR="00D77CB6" w:rsidRDefault="00963485" w:rsidP="00217D6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F5F0FE1" w14:textId="77777777" w:rsidR="00D77CB6" w:rsidRDefault="00E52F42" w:rsidP="0072061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B68304" w14:textId="77777777" w:rsidR="00E37D4C" w:rsidRDefault="00E52F42">
    <w:pPr>
      <w:pStyle w:val="Footer"/>
      <w:jc w:val="right"/>
    </w:pPr>
  </w:p>
  <w:p w14:paraId="72CCF130" w14:textId="77777777" w:rsidR="00D77CB6" w:rsidRPr="00E37D4C" w:rsidRDefault="00E52F42" w:rsidP="00E37D4C">
    <w:pPr>
      <w:pStyle w:val="Footer"/>
      <w:ind w:right="360"/>
      <w:jc w:val="right"/>
      <w:rPr>
        <w:lang w:val="mn-MN"/>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8A7835" w14:textId="77777777" w:rsidR="00FF32DF" w:rsidRDefault="00E52F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378927" w14:textId="77777777" w:rsidR="00E52F42" w:rsidRDefault="00E52F42">
      <w:r>
        <w:separator/>
      </w:r>
    </w:p>
  </w:footnote>
  <w:footnote w:type="continuationSeparator" w:id="0">
    <w:p w14:paraId="36209AA3" w14:textId="77777777" w:rsidR="00E52F42" w:rsidRDefault="00E52F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F684EF" w14:textId="77777777" w:rsidR="00FF32DF" w:rsidRDefault="00E52F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76CF70" w14:textId="77777777" w:rsidR="00FF32DF" w:rsidRDefault="00E52F42">
    <w:pPr>
      <w:pStyle w:val="Header"/>
    </w:pPr>
    <w:r>
      <w:rPr>
        <w:noProof/>
      </w:rPr>
      <w:pict w14:anchorId="30988E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6675283" o:spid="_x0000_s2049" type="#_x0000_t136" style="position:absolute;margin-left:0;margin-top:0;width:439.35pt;height:263.6pt;rotation:315;z-index:-251658752;mso-position-horizontal:center;mso-position-horizontal-relative:margin;mso-position-vertical:center;mso-position-vertical-relative:margin" o:allowincell="f" fillcolor="silver" stroked="f">
          <v:fill opacity=".5"/>
          <v:textpath style="font-family:&quot;Calibri&quot;;font-size:1pt" string="ТӨСӨЛ"/>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3B6F77" w14:textId="77777777" w:rsidR="00FF32DF" w:rsidRDefault="00E52F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027C6"/>
    <w:multiLevelType w:val="multilevel"/>
    <w:tmpl w:val="A60E025E"/>
    <w:lvl w:ilvl="0">
      <w:start w:val="2"/>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5180777"/>
    <w:multiLevelType w:val="multilevel"/>
    <w:tmpl w:val="0F022D5C"/>
    <w:lvl w:ilvl="0">
      <w:start w:val="3"/>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color w:val="auto"/>
      </w:rPr>
    </w:lvl>
    <w:lvl w:ilvl="2">
      <w:start w:val="1"/>
      <w:numFmt w:val="decimal"/>
      <w:lvlText w:val="%1.%2.%3"/>
      <w:lvlJc w:val="left"/>
      <w:pPr>
        <w:ind w:left="1713"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 w15:restartNumberingAfterBreak="0">
    <w:nsid w:val="4EDA542C"/>
    <w:multiLevelType w:val="multilevel"/>
    <w:tmpl w:val="ADD0A1E0"/>
    <w:lvl w:ilvl="0">
      <w:start w:val="1"/>
      <w:numFmt w:val="decimal"/>
      <w:lvlText w:val="%1."/>
      <w:lvlJc w:val="left"/>
      <w:pPr>
        <w:ind w:left="360" w:hanging="360"/>
      </w:pPr>
      <w:rPr>
        <w:rFonts w:hint="default"/>
      </w:rPr>
    </w:lvl>
    <w:lvl w:ilvl="1">
      <w:start w:val="1"/>
      <w:numFmt w:val="decimal"/>
      <w:isLgl/>
      <w:lvlText w:val="%1.%2"/>
      <w:lvlJc w:val="left"/>
      <w:pPr>
        <w:ind w:left="540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61BB7CD1"/>
    <w:multiLevelType w:val="multilevel"/>
    <w:tmpl w:val="357E7C0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7EDA"/>
    <w:rsid w:val="0012346B"/>
    <w:rsid w:val="002B2C22"/>
    <w:rsid w:val="003338AD"/>
    <w:rsid w:val="003951BA"/>
    <w:rsid w:val="003B54B2"/>
    <w:rsid w:val="003C6771"/>
    <w:rsid w:val="003E098E"/>
    <w:rsid w:val="003E5893"/>
    <w:rsid w:val="00506C5C"/>
    <w:rsid w:val="00520CAD"/>
    <w:rsid w:val="00532519"/>
    <w:rsid w:val="00621828"/>
    <w:rsid w:val="006243C3"/>
    <w:rsid w:val="006B558C"/>
    <w:rsid w:val="006D5214"/>
    <w:rsid w:val="007E02BB"/>
    <w:rsid w:val="00877FE2"/>
    <w:rsid w:val="008A2823"/>
    <w:rsid w:val="008D2A61"/>
    <w:rsid w:val="008E180A"/>
    <w:rsid w:val="00901EEB"/>
    <w:rsid w:val="009223CF"/>
    <w:rsid w:val="00933641"/>
    <w:rsid w:val="00935430"/>
    <w:rsid w:val="00963485"/>
    <w:rsid w:val="00990BBC"/>
    <w:rsid w:val="009C106E"/>
    <w:rsid w:val="009D40E7"/>
    <w:rsid w:val="00B65F17"/>
    <w:rsid w:val="00DA540E"/>
    <w:rsid w:val="00E14060"/>
    <w:rsid w:val="00E52F42"/>
    <w:rsid w:val="00EA7EDA"/>
    <w:rsid w:val="00F44070"/>
    <w:rsid w:val="00F6694D"/>
    <w:rsid w:val="00FC2EE6"/>
    <w:rsid w:val="00FD0222"/>
    <w:rsid w:val="00FD06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BE1D454"/>
  <w15:chartTrackingRefBased/>
  <w15:docId w15:val="{6F9B4409-EE0C-4D57-82E8-9ED581D56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before="120" w:after="12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7EDA"/>
    <w:pPr>
      <w:spacing w:before="0" w:after="0"/>
    </w:pPr>
    <w:rPr>
      <w:rFonts w:eastAsia="Times New Roman" w:cs="Times New Roman"/>
      <w:szCs w:val="24"/>
    </w:rPr>
  </w:style>
  <w:style w:type="paragraph" w:styleId="Heading1">
    <w:name w:val="heading 1"/>
    <w:basedOn w:val="Normal"/>
    <w:next w:val="Normal"/>
    <w:link w:val="Heading1Char"/>
    <w:qFormat/>
    <w:rsid w:val="00EA7EDA"/>
    <w:pPr>
      <w:widowControl w:val="0"/>
      <w:autoSpaceDE w:val="0"/>
      <w:autoSpaceDN w:val="0"/>
      <w:adjustRightInd w:val="0"/>
      <w:spacing w:before="120" w:after="120" w:line="360" w:lineRule="auto"/>
      <w:jc w:val="center"/>
      <w:outlineLvl w:val="0"/>
    </w:pPr>
    <w:rPr>
      <w:rFonts w:cs="Times New Roman Mo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A7EDA"/>
    <w:rPr>
      <w:rFonts w:eastAsia="Times New Roman" w:cs="Times New Roman Mon"/>
      <w:b/>
      <w:szCs w:val="24"/>
    </w:rPr>
  </w:style>
  <w:style w:type="paragraph" w:customStyle="1" w:styleId="Default">
    <w:name w:val="Default"/>
    <w:rsid w:val="00EA7EDA"/>
    <w:pPr>
      <w:autoSpaceDE w:val="0"/>
      <w:autoSpaceDN w:val="0"/>
      <w:adjustRightInd w:val="0"/>
      <w:spacing w:before="0" w:after="0"/>
    </w:pPr>
    <w:rPr>
      <w:rFonts w:eastAsia="Times New Roman" w:cs="Times New Roman"/>
      <w:color w:val="000000"/>
      <w:szCs w:val="24"/>
    </w:rPr>
  </w:style>
  <w:style w:type="paragraph" w:styleId="Header">
    <w:name w:val="header"/>
    <w:basedOn w:val="Normal"/>
    <w:link w:val="HeaderChar"/>
    <w:rsid w:val="00EA7EDA"/>
    <w:pPr>
      <w:tabs>
        <w:tab w:val="center" w:pos="4320"/>
        <w:tab w:val="right" w:pos="8640"/>
      </w:tabs>
    </w:pPr>
  </w:style>
  <w:style w:type="character" w:customStyle="1" w:styleId="HeaderChar">
    <w:name w:val="Header Char"/>
    <w:basedOn w:val="DefaultParagraphFont"/>
    <w:link w:val="Header"/>
    <w:rsid w:val="00EA7EDA"/>
    <w:rPr>
      <w:rFonts w:eastAsia="Times New Roman" w:cs="Times New Roman"/>
      <w:szCs w:val="24"/>
    </w:rPr>
  </w:style>
  <w:style w:type="paragraph" w:styleId="Footer">
    <w:name w:val="footer"/>
    <w:basedOn w:val="Normal"/>
    <w:link w:val="FooterChar"/>
    <w:uiPriority w:val="99"/>
    <w:rsid w:val="00EA7EDA"/>
    <w:pPr>
      <w:tabs>
        <w:tab w:val="center" w:pos="4320"/>
        <w:tab w:val="right" w:pos="8640"/>
      </w:tabs>
    </w:pPr>
  </w:style>
  <w:style w:type="character" w:customStyle="1" w:styleId="FooterChar">
    <w:name w:val="Footer Char"/>
    <w:basedOn w:val="DefaultParagraphFont"/>
    <w:link w:val="Footer"/>
    <w:uiPriority w:val="99"/>
    <w:rsid w:val="00EA7EDA"/>
    <w:rPr>
      <w:rFonts w:eastAsia="Times New Roman" w:cs="Times New Roman"/>
      <w:szCs w:val="24"/>
    </w:rPr>
  </w:style>
  <w:style w:type="character" w:styleId="PageNumber">
    <w:name w:val="page number"/>
    <w:basedOn w:val="DefaultParagraphFont"/>
    <w:rsid w:val="00EA7EDA"/>
  </w:style>
  <w:style w:type="table" w:styleId="TableGridLight">
    <w:name w:val="Grid Table Light"/>
    <w:basedOn w:val="TableNormal"/>
    <w:uiPriority w:val="40"/>
    <w:rsid w:val="00EA7EDA"/>
    <w:pPr>
      <w:spacing w:before="0" w:after="0"/>
    </w:pPr>
    <w:rPr>
      <w:rFonts w:eastAsia="Times New Roman" w:cs="Times New Roman"/>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alloonText">
    <w:name w:val="Balloon Text"/>
    <w:basedOn w:val="Normal"/>
    <w:link w:val="BalloonTextChar"/>
    <w:uiPriority w:val="99"/>
    <w:semiHidden/>
    <w:unhideWhenUsed/>
    <w:rsid w:val="00FC2EE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2EE6"/>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3E5893"/>
    <w:rPr>
      <w:sz w:val="16"/>
      <w:szCs w:val="16"/>
    </w:rPr>
  </w:style>
  <w:style w:type="paragraph" w:styleId="CommentText">
    <w:name w:val="annotation text"/>
    <w:basedOn w:val="Normal"/>
    <w:link w:val="CommentTextChar"/>
    <w:uiPriority w:val="99"/>
    <w:semiHidden/>
    <w:unhideWhenUsed/>
    <w:rsid w:val="003E5893"/>
    <w:rPr>
      <w:sz w:val="20"/>
      <w:szCs w:val="20"/>
    </w:rPr>
  </w:style>
  <w:style w:type="character" w:customStyle="1" w:styleId="CommentTextChar">
    <w:name w:val="Comment Text Char"/>
    <w:basedOn w:val="DefaultParagraphFont"/>
    <w:link w:val="CommentText"/>
    <w:uiPriority w:val="99"/>
    <w:semiHidden/>
    <w:rsid w:val="003E5893"/>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E5893"/>
    <w:rPr>
      <w:b/>
      <w:bCs/>
    </w:rPr>
  </w:style>
  <w:style w:type="character" w:customStyle="1" w:styleId="CommentSubjectChar">
    <w:name w:val="Comment Subject Char"/>
    <w:basedOn w:val="CommentTextChar"/>
    <w:link w:val="CommentSubject"/>
    <w:uiPriority w:val="99"/>
    <w:semiHidden/>
    <w:rsid w:val="003E5893"/>
    <w:rPr>
      <w:rFonts w:eastAsia="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309</TotalTime>
  <Pages>6</Pages>
  <Words>1501</Words>
  <Characters>8561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Tungalag</dc:creator>
  <cp:keywords/>
  <dc:description/>
  <cp:lastModifiedBy>Tungalag</cp:lastModifiedBy>
  <cp:revision>17</cp:revision>
  <dcterms:created xsi:type="dcterms:W3CDTF">2020-12-02T10:36:00Z</dcterms:created>
  <dcterms:modified xsi:type="dcterms:W3CDTF">2020-12-05T09:28:00Z</dcterms:modified>
</cp:coreProperties>
</file>