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89" w:rsidRPr="00965C5B" w:rsidRDefault="00002A89" w:rsidP="00002A89">
      <w:pPr>
        <w:autoSpaceDE w:val="0"/>
        <w:autoSpaceDN w:val="0"/>
        <w:snapToGrid w:val="0"/>
        <w:spacing w:after="0" w:line="240" w:lineRule="auto"/>
        <w:jc w:val="right"/>
        <w:rPr>
          <w:rFonts w:ascii="Times New Roman" w:eastAsia="BatangChe" w:hAnsi="Times New Roman" w:cs="Times New Roman"/>
          <w:kern w:val="2"/>
          <w:sz w:val="24"/>
          <w:szCs w:val="24"/>
          <w:lang w:val="mn-MN" w:eastAsia="ko-KR"/>
        </w:rPr>
      </w:pPr>
      <w:bookmarkStart w:id="0" w:name="bookmark1"/>
      <w:r w:rsidRPr="00965C5B">
        <w:rPr>
          <w:rFonts w:ascii="Times New Roman" w:eastAsia="BatangChe" w:hAnsi="Times New Roman" w:cs="Times New Roman"/>
          <w:kern w:val="2"/>
          <w:sz w:val="24"/>
          <w:szCs w:val="24"/>
          <w:lang w:val="mn-MN" w:eastAsia="ko-KR"/>
        </w:rPr>
        <w:t>төсөл</w:t>
      </w: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r w:rsidRPr="00B631B9">
        <w:rPr>
          <w:rFonts w:ascii="Times New Roman" w:eastAsia="BatangChe" w:hAnsi="Times New Roman" w:cs="Times New Roman"/>
          <w:b/>
          <w:kern w:val="2"/>
          <w:sz w:val="24"/>
          <w:szCs w:val="24"/>
          <w:lang w:eastAsia="ko-KR"/>
        </w:rPr>
        <w:t>САНХ</w:t>
      </w:r>
      <w:r>
        <w:rPr>
          <w:rFonts w:ascii="Times New Roman" w:eastAsia="BatangChe" w:hAnsi="Times New Roman" w:cs="Times New Roman"/>
          <w:b/>
          <w:kern w:val="2"/>
          <w:sz w:val="24"/>
          <w:szCs w:val="24"/>
          <w:lang w:eastAsia="ko-KR"/>
        </w:rPr>
        <w:t>ҮҮ</w:t>
      </w:r>
      <w:r w:rsidRPr="00B631B9">
        <w:rPr>
          <w:rFonts w:ascii="Times New Roman" w:eastAsia="BatangChe" w:hAnsi="Times New Roman" w:cs="Times New Roman"/>
          <w:b/>
          <w:kern w:val="2"/>
          <w:sz w:val="24"/>
          <w:szCs w:val="24"/>
          <w:lang w:eastAsia="ko-KR"/>
        </w:rPr>
        <w:t>ГИЙН ЗОХИЦУУЛАХ ХОРООНЫ</w:t>
      </w: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r w:rsidRPr="00B631B9">
        <w:rPr>
          <w:rFonts w:ascii="Times New Roman" w:eastAsia="BatangChe" w:hAnsi="Times New Roman" w:cs="Times New Roman"/>
          <w:b/>
          <w:kern w:val="2"/>
          <w:sz w:val="24"/>
          <w:szCs w:val="24"/>
          <w:lang w:eastAsia="ko-KR"/>
        </w:rPr>
        <w:t>ТОГТООЛ</w:t>
      </w: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p>
    <w:bookmarkEnd w:id="0"/>
    <w:p w:rsidR="00002A89" w:rsidRPr="00B631B9" w:rsidRDefault="00002A89" w:rsidP="00002A89">
      <w:pPr>
        <w:autoSpaceDE w:val="0"/>
        <w:autoSpaceDN w:val="0"/>
        <w:snapToGrid w:val="0"/>
        <w:spacing w:after="0" w:line="240" w:lineRule="auto"/>
        <w:jc w:val="both"/>
        <w:rPr>
          <w:rFonts w:ascii="Times New Roman" w:eastAsia="BatangChe" w:hAnsi="Times New Roman" w:cs="Times New Roman"/>
          <w:b/>
          <w:kern w:val="2"/>
          <w:sz w:val="24"/>
          <w:szCs w:val="24"/>
          <w:lang w:eastAsia="ko-KR"/>
        </w:rPr>
      </w:pPr>
      <w:r w:rsidRPr="00B631B9">
        <w:rPr>
          <w:rFonts w:ascii="Times New Roman" w:eastAsia="BatangChe" w:hAnsi="Times New Roman" w:cs="Times New Roman"/>
          <w:b/>
          <w:kern w:val="2"/>
          <w:sz w:val="24"/>
          <w:szCs w:val="24"/>
          <w:lang w:eastAsia="ko-KR"/>
        </w:rPr>
        <w:t xml:space="preserve">2010 </w:t>
      </w:r>
      <w:proofErr w:type="spellStart"/>
      <w:r w:rsidRPr="00B631B9">
        <w:rPr>
          <w:rFonts w:ascii="Times New Roman" w:eastAsia="BatangChe" w:hAnsi="Times New Roman" w:cs="Times New Roman"/>
          <w:b/>
          <w:kern w:val="2"/>
          <w:sz w:val="24"/>
          <w:szCs w:val="24"/>
          <w:lang w:eastAsia="ko-KR"/>
        </w:rPr>
        <w:t>оны</w:t>
      </w:r>
      <w:proofErr w:type="spellEnd"/>
      <w:r w:rsidRPr="00B631B9">
        <w:rPr>
          <w:rFonts w:ascii="Times New Roman" w:eastAsia="BatangChe" w:hAnsi="Times New Roman" w:cs="Times New Roman"/>
          <w:b/>
          <w:kern w:val="2"/>
          <w:sz w:val="24"/>
          <w:szCs w:val="24"/>
          <w:lang w:eastAsia="ko-KR"/>
        </w:rPr>
        <w:t xml:space="preserve"> ... </w:t>
      </w:r>
      <w:proofErr w:type="spellStart"/>
      <w:r w:rsidRPr="00B631B9">
        <w:rPr>
          <w:rFonts w:ascii="Times New Roman" w:eastAsia="BatangChe" w:hAnsi="Times New Roman" w:cs="Times New Roman"/>
          <w:b/>
          <w:kern w:val="2"/>
          <w:sz w:val="24"/>
          <w:szCs w:val="24"/>
          <w:lang w:eastAsia="ko-KR"/>
        </w:rPr>
        <w:t>дугаар</w:t>
      </w:r>
      <w:proofErr w:type="spellEnd"/>
      <w:r w:rsidRPr="00B631B9">
        <w:rPr>
          <w:rFonts w:ascii="Times New Roman" w:eastAsia="BatangChe" w:hAnsi="Times New Roman" w:cs="Times New Roman"/>
          <w:b/>
          <w:kern w:val="2"/>
          <w:sz w:val="24"/>
          <w:szCs w:val="24"/>
          <w:lang w:eastAsia="ko-KR"/>
        </w:rPr>
        <w:t> </w:t>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t xml:space="preserve">     </w:t>
      </w:r>
      <w:proofErr w:type="spellStart"/>
      <w:r w:rsidRPr="00B631B9">
        <w:rPr>
          <w:rFonts w:ascii="Times New Roman" w:eastAsia="BatangChe" w:hAnsi="Times New Roman" w:cs="Times New Roman"/>
          <w:b/>
          <w:kern w:val="2"/>
          <w:sz w:val="24"/>
          <w:szCs w:val="24"/>
          <w:lang w:eastAsia="ko-KR"/>
        </w:rPr>
        <w:t>Улаанбаатар</w:t>
      </w:r>
      <w:proofErr w:type="spellEnd"/>
    </w:p>
    <w:p w:rsidR="00002A89" w:rsidRPr="00B631B9" w:rsidRDefault="00002A89" w:rsidP="00002A89">
      <w:pPr>
        <w:autoSpaceDE w:val="0"/>
        <w:autoSpaceDN w:val="0"/>
        <w:snapToGrid w:val="0"/>
        <w:spacing w:after="0" w:line="240" w:lineRule="auto"/>
        <w:jc w:val="both"/>
        <w:rPr>
          <w:rFonts w:ascii="Times New Roman" w:eastAsia="BatangChe" w:hAnsi="Times New Roman" w:cs="Times New Roman"/>
          <w:b/>
          <w:kern w:val="2"/>
          <w:sz w:val="24"/>
          <w:szCs w:val="24"/>
          <w:lang w:eastAsia="ko-KR"/>
        </w:rPr>
      </w:pPr>
      <w:proofErr w:type="spellStart"/>
      <w:proofErr w:type="gramStart"/>
      <w:r w:rsidRPr="00B631B9">
        <w:rPr>
          <w:rFonts w:ascii="Times New Roman" w:eastAsia="BatangChe" w:hAnsi="Times New Roman" w:cs="Times New Roman"/>
          <w:b/>
          <w:kern w:val="2"/>
          <w:sz w:val="24"/>
          <w:szCs w:val="24"/>
          <w:lang w:eastAsia="ko-KR"/>
        </w:rPr>
        <w:t>сарын</w:t>
      </w:r>
      <w:proofErr w:type="spellEnd"/>
      <w:proofErr w:type="gramEnd"/>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ны</w:t>
      </w:r>
      <w:proofErr w:type="spellEnd"/>
      <w:r w:rsidRPr="00B631B9">
        <w:rPr>
          <w:rFonts w:ascii="Times New Roman" w:eastAsia="BatangChe" w:hAnsi="Times New Roman" w:cs="Times New Roman"/>
          <w:b/>
          <w:kern w:val="2"/>
          <w:sz w:val="24"/>
          <w:szCs w:val="24"/>
          <w:lang w:eastAsia="ko-KR"/>
        </w:rPr>
        <w:t xml:space="preserve"> </w:t>
      </w:r>
      <w:proofErr w:type="spellStart"/>
      <w:r>
        <w:rPr>
          <w:rFonts w:ascii="Times New Roman" w:eastAsia="BatangChe" w:hAnsi="Times New Roman" w:cs="Times New Roman"/>
          <w:b/>
          <w:kern w:val="2"/>
          <w:sz w:val="24"/>
          <w:szCs w:val="24"/>
          <w:lang w:eastAsia="ko-KR"/>
        </w:rPr>
        <w:t>ө</w:t>
      </w:r>
      <w:r w:rsidRPr="00B631B9">
        <w:rPr>
          <w:rFonts w:ascii="Times New Roman" w:eastAsia="BatangChe" w:hAnsi="Times New Roman" w:cs="Times New Roman"/>
          <w:b/>
          <w:kern w:val="2"/>
          <w:sz w:val="24"/>
          <w:szCs w:val="24"/>
          <w:lang w:eastAsia="ko-KR"/>
        </w:rPr>
        <w:t>д</w:t>
      </w:r>
      <w:r>
        <w:rPr>
          <w:rFonts w:ascii="Times New Roman" w:eastAsia="BatangChe" w:hAnsi="Times New Roman" w:cs="Times New Roman"/>
          <w:b/>
          <w:kern w:val="2"/>
          <w:sz w:val="24"/>
          <w:szCs w:val="24"/>
          <w:lang w:eastAsia="ko-KR"/>
        </w:rPr>
        <w:t>ө</w:t>
      </w:r>
      <w:r w:rsidRPr="00B631B9">
        <w:rPr>
          <w:rFonts w:ascii="Times New Roman" w:eastAsia="BatangChe" w:hAnsi="Times New Roman" w:cs="Times New Roman"/>
          <w:b/>
          <w:kern w:val="2"/>
          <w:sz w:val="24"/>
          <w:szCs w:val="24"/>
          <w:lang w:eastAsia="ko-KR"/>
        </w:rPr>
        <w:t>р</w:t>
      </w:r>
      <w:proofErr w:type="spellEnd"/>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proofErr w:type="spellStart"/>
      <w:r w:rsidRPr="00B631B9">
        <w:rPr>
          <w:rFonts w:ascii="Times New Roman" w:eastAsia="BatangChe" w:hAnsi="Times New Roman" w:cs="Times New Roman"/>
          <w:b/>
          <w:kern w:val="2"/>
          <w:sz w:val="24"/>
          <w:szCs w:val="24"/>
          <w:lang w:eastAsia="ko-KR"/>
        </w:rPr>
        <w:t>дугаар</w:t>
      </w:r>
      <w:proofErr w:type="spellEnd"/>
      <w:r w:rsidRPr="00B631B9">
        <w:rPr>
          <w:rFonts w:ascii="Times New Roman" w:eastAsia="BatangChe" w:hAnsi="Times New Roman" w:cs="Times New Roman"/>
          <w:b/>
          <w:kern w:val="2"/>
          <w:sz w:val="24"/>
          <w:szCs w:val="24"/>
          <w:lang w:eastAsia="ko-KR"/>
        </w:rPr>
        <w:t xml:space="preserve"> .....</w:t>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r w:rsidRPr="00B631B9">
        <w:rPr>
          <w:rFonts w:ascii="Times New Roman" w:eastAsia="BatangChe" w:hAnsi="Times New Roman" w:cs="Times New Roman"/>
          <w:b/>
          <w:kern w:val="2"/>
          <w:sz w:val="24"/>
          <w:szCs w:val="24"/>
          <w:lang w:eastAsia="ko-KR"/>
        </w:rPr>
        <w:tab/>
      </w:r>
      <w:proofErr w:type="spellStart"/>
      <w:proofErr w:type="gramStart"/>
      <w:r w:rsidRPr="00B631B9">
        <w:rPr>
          <w:rFonts w:ascii="Times New Roman" w:eastAsia="BatangChe" w:hAnsi="Times New Roman" w:cs="Times New Roman"/>
          <w:b/>
          <w:kern w:val="2"/>
          <w:sz w:val="24"/>
          <w:szCs w:val="24"/>
          <w:lang w:eastAsia="ko-KR"/>
        </w:rPr>
        <w:t>хот</w:t>
      </w:r>
      <w:proofErr w:type="spellEnd"/>
      <w:proofErr w:type="gramEnd"/>
    </w:p>
    <w:p w:rsidR="00002A89" w:rsidRPr="00B631B9" w:rsidRDefault="00002A89" w:rsidP="00002A89">
      <w:pPr>
        <w:autoSpaceDE w:val="0"/>
        <w:autoSpaceDN w:val="0"/>
        <w:snapToGrid w:val="0"/>
        <w:spacing w:after="0" w:line="240" w:lineRule="auto"/>
        <w:jc w:val="both"/>
        <w:rPr>
          <w:rFonts w:ascii="Times New Roman" w:eastAsia="BatangChe" w:hAnsi="Times New Roman" w:cs="Times New Roman"/>
          <w:kern w:val="2"/>
          <w:sz w:val="24"/>
          <w:szCs w:val="24"/>
          <w:lang w:eastAsia="ko-KR"/>
        </w:rPr>
      </w:pP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eastAsia="ko-KR"/>
        </w:rPr>
      </w:pPr>
    </w:p>
    <w:p w:rsidR="00002A89" w:rsidRPr="00B631B9" w:rsidRDefault="00002A89" w:rsidP="00002A89">
      <w:pPr>
        <w:autoSpaceDE w:val="0"/>
        <w:autoSpaceDN w:val="0"/>
        <w:snapToGrid w:val="0"/>
        <w:spacing w:after="0" w:line="240" w:lineRule="auto"/>
        <w:jc w:val="center"/>
        <w:rPr>
          <w:rFonts w:ascii="Times New Roman" w:eastAsia="BatangChe" w:hAnsi="Times New Roman" w:cs="Times New Roman"/>
          <w:b/>
          <w:kern w:val="2"/>
          <w:sz w:val="24"/>
          <w:szCs w:val="24"/>
          <w:lang w:val="mn-MN" w:eastAsia="ko-KR"/>
        </w:rPr>
      </w:pPr>
      <w:r w:rsidRPr="00B631B9">
        <w:rPr>
          <w:rFonts w:ascii="Times New Roman" w:eastAsia="BatangChe" w:hAnsi="Times New Roman" w:cs="Times New Roman"/>
          <w:b/>
          <w:kern w:val="2"/>
          <w:sz w:val="24"/>
          <w:szCs w:val="24"/>
          <w:lang w:val="mn-MN" w:eastAsia="ko-KR"/>
        </w:rPr>
        <w:t>“</w:t>
      </w:r>
      <w:proofErr w:type="spellStart"/>
      <w:r w:rsidRPr="00B631B9">
        <w:rPr>
          <w:rFonts w:ascii="Times New Roman" w:eastAsia="BatangChe" w:hAnsi="Times New Roman" w:cs="Times New Roman"/>
          <w:b/>
          <w:kern w:val="2"/>
          <w:sz w:val="24"/>
          <w:szCs w:val="24"/>
          <w:lang w:eastAsia="ko-KR"/>
        </w:rPr>
        <w:t>Эрсдлээс</w:t>
      </w:r>
      <w:proofErr w:type="spellEnd"/>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хамгаалах</w:t>
      </w:r>
      <w:proofErr w:type="spellEnd"/>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сангийн</w:t>
      </w:r>
      <w:proofErr w:type="spellEnd"/>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тухай</w:t>
      </w:r>
      <w:proofErr w:type="spellEnd"/>
      <w:r w:rsidRPr="00B631B9">
        <w:rPr>
          <w:rFonts w:ascii="Times New Roman" w:eastAsia="BatangChe" w:hAnsi="Times New Roman" w:cs="Times New Roman"/>
          <w:b/>
          <w:kern w:val="2"/>
          <w:sz w:val="24"/>
          <w:szCs w:val="24"/>
          <w:lang w:eastAsia="ko-KR"/>
        </w:rPr>
        <w:t xml:space="preserve"> </w:t>
      </w:r>
      <w:r w:rsidRPr="00B631B9">
        <w:rPr>
          <w:rFonts w:ascii="Times New Roman" w:eastAsia="BatangChe" w:hAnsi="Times New Roman" w:cs="Times New Roman"/>
          <w:b/>
          <w:kern w:val="2"/>
          <w:sz w:val="24"/>
          <w:szCs w:val="24"/>
          <w:lang w:val="mn-MN" w:eastAsia="ko-KR"/>
        </w:rPr>
        <w:t>ж</w:t>
      </w:r>
      <w:proofErr w:type="spellStart"/>
      <w:r w:rsidRPr="00B631B9">
        <w:rPr>
          <w:rFonts w:ascii="Times New Roman" w:eastAsia="BatangChe" w:hAnsi="Times New Roman" w:cs="Times New Roman"/>
          <w:b/>
          <w:kern w:val="2"/>
          <w:sz w:val="24"/>
          <w:szCs w:val="24"/>
          <w:lang w:eastAsia="ko-KR"/>
        </w:rPr>
        <w:t>урам</w:t>
      </w:r>
      <w:proofErr w:type="spellEnd"/>
      <w:r w:rsidRPr="00B631B9">
        <w:rPr>
          <w:rFonts w:ascii="Times New Roman" w:eastAsia="BatangChe" w:hAnsi="Times New Roman" w:cs="Times New Roman"/>
          <w:b/>
          <w:kern w:val="2"/>
          <w:sz w:val="24"/>
          <w:szCs w:val="24"/>
          <w:lang w:val="mn-MN" w:eastAsia="ko-KR"/>
        </w:rPr>
        <w:t>”</w:t>
      </w:r>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батлах</w:t>
      </w:r>
      <w:proofErr w:type="spellEnd"/>
      <w:r w:rsidRPr="00B631B9">
        <w:rPr>
          <w:rFonts w:ascii="Times New Roman" w:eastAsia="BatangChe" w:hAnsi="Times New Roman" w:cs="Times New Roman"/>
          <w:b/>
          <w:kern w:val="2"/>
          <w:sz w:val="24"/>
          <w:szCs w:val="24"/>
          <w:lang w:eastAsia="ko-KR"/>
        </w:rPr>
        <w:t xml:space="preserve"> </w:t>
      </w:r>
      <w:proofErr w:type="spellStart"/>
      <w:r w:rsidRPr="00B631B9">
        <w:rPr>
          <w:rFonts w:ascii="Times New Roman" w:eastAsia="BatangChe" w:hAnsi="Times New Roman" w:cs="Times New Roman"/>
          <w:b/>
          <w:kern w:val="2"/>
          <w:sz w:val="24"/>
          <w:szCs w:val="24"/>
          <w:lang w:eastAsia="ko-KR"/>
        </w:rPr>
        <w:t>тухай</w:t>
      </w:r>
      <w:proofErr w:type="spellEnd"/>
    </w:p>
    <w:p w:rsidR="00002A89" w:rsidRPr="00B631B9" w:rsidRDefault="00002A89" w:rsidP="00002A89">
      <w:pPr>
        <w:pStyle w:val="Bodytext51"/>
        <w:spacing w:before="0" w:after="0" w:line="240" w:lineRule="auto"/>
        <w:ind w:left="20" w:right="20" w:firstLine="520"/>
        <w:rPr>
          <w:rFonts w:cs="Times New Roman"/>
          <w:sz w:val="24"/>
          <w:szCs w:val="24"/>
          <w:lang w:val="mn-MN" w:eastAsia="mn-MN"/>
        </w:rPr>
      </w:pPr>
      <w:r w:rsidRPr="00B631B9">
        <w:rPr>
          <w:rFonts w:cs="Times New Roman"/>
          <w:sz w:val="24"/>
          <w:szCs w:val="24"/>
          <w:lang w:val="mn-MN" w:eastAsia="mn-MN"/>
        </w:rPr>
        <w:br/>
      </w:r>
    </w:p>
    <w:p w:rsidR="00002A89" w:rsidRPr="00B631B9" w:rsidRDefault="00002A89" w:rsidP="00002A89">
      <w:pPr>
        <w:pStyle w:val="Bodytext51"/>
        <w:spacing w:before="0" w:after="0" w:line="240" w:lineRule="auto"/>
        <w:ind w:left="20" w:right="20" w:firstLine="520"/>
        <w:rPr>
          <w:rFonts w:cs="Times New Roman"/>
          <w:sz w:val="24"/>
          <w:szCs w:val="24"/>
          <w:lang w:eastAsia="mn-MN"/>
        </w:rPr>
      </w:pPr>
      <w:proofErr w:type="spellStart"/>
      <w:r w:rsidRPr="00B631B9">
        <w:rPr>
          <w:rFonts w:cs="Times New Roman"/>
          <w:sz w:val="24"/>
          <w:szCs w:val="24"/>
          <w:lang w:eastAsia="mn-MN"/>
        </w:rPr>
        <w:t>Санхүүгийн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зохицуулах</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хорооны</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эрх</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зүйн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байдлын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тухай</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хуулийн</w:t>
      </w:r>
      <w:proofErr w:type="spellEnd"/>
      <w:r w:rsidRPr="00B631B9">
        <w:rPr>
          <w:rFonts w:cs="Times New Roman"/>
          <w:sz w:val="24"/>
          <w:szCs w:val="24"/>
          <w:lang w:eastAsia="mn-MN"/>
        </w:rPr>
        <w:t xml:space="preserve"> 6.1.2, </w:t>
      </w:r>
      <w:proofErr w:type="spellStart"/>
      <w:r w:rsidRPr="00B631B9">
        <w:rPr>
          <w:rFonts w:cs="Times New Roman"/>
          <w:sz w:val="24"/>
          <w:szCs w:val="24"/>
          <w:lang w:eastAsia="mn-MN"/>
        </w:rPr>
        <w:t>Үнэт</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цаасны</w:t>
      </w:r>
      <w:proofErr w:type="spellEnd"/>
      <w:r w:rsidRPr="00B631B9">
        <w:rPr>
          <w:rFonts w:cs="Times New Roman"/>
          <w:sz w:val="24"/>
          <w:szCs w:val="24"/>
          <w:lang w:eastAsia="mn-MN"/>
        </w:rPr>
        <w:t xml:space="preserve"> </w:t>
      </w:r>
      <w:proofErr w:type="spellStart"/>
      <w:proofErr w:type="gramStart"/>
      <w:r w:rsidRPr="00B631B9">
        <w:rPr>
          <w:rFonts w:cs="Times New Roman"/>
          <w:sz w:val="24"/>
          <w:szCs w:val="24"/>
          <w:lang w:eastAsia="mn-MN"/>
        </w:rPr>
        <w:t>зах</w:t>
      </w:r>
      <w:proofErr w:type="spellEnd"/>
      <w:proofErr w:type="gramEnd"/>
      <w:r w:rsidRPr="00B631B9">
        <w:rPr>
          <w:rFonts w:cs="Times New Roman"/>
          <w:sz w:val="24"/>
          <w:szCs w:val="24"/>
          <w:lang w:eastAsia="mn-MN"/>
        </w:rPr>
        <w:t xml:space="preserve"> </w:t>
      </w:r>
      <w:proofErr w:type="spellStart"/>
      <w:r w:rsidRPr="00B631B9">
        <w:rPr>
          <w:rFonts w:cs="Times New Roman"/>
          <w:sz w:val="24"/>
          <w:szCs w:val="24"/>
          <w:lang w:eastAsia="mn-MN"/>
        </w:rPr>
        <w:t>зээлийн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тухай</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хуулийн</w:t>
      </w:r>
      <w:proofErr w:type="spellEnd"/>
      <w:r w:rsidRPr="00B631B9">
        <w:rPr>
          <w:rFonts w:cs="Times New Roman"/>
          <w:sz w:val="24"/>
          <w:szCs w:val="24"/>
          <w:lang w:eastAsia="mn-MN"/>
        </w:rPr>
        <w:t xml:space="preserve"> </w:t>
      </w:r>
      <w:r w:rsidRPr="00B631B9">
        <w:rPr>
          <w:rFonts w:cs="Times New Roman"/>
          <w:sz w:val="24"/>
          <w:szCs w:val="24"/>
          <w:lang w:val="mn-MN" w:eastAsia="mn-MN"/>
        </w:rPr>
        <w:t xml:space="preserve">19.2.11, </w:t>
      </w:r>
      <w:r w:rsidRPr="00B631B9">
        <w:rPr>
          <w:rFonts w:cs="Times New Roman"/>
          <w:sz w:val="24"/>
          <w:szCs w:val="24"/>
          <w:lang w:eastAsia="mn-MN"/>
        </w:rPr>
        <w:t xml:space="preserve">34.1.3 </w:t>
      </w:r>
      <w:proofErr w:type="spellStart"/>
      <w:r w:rsidRPr="00B631B9">
        <w:rPr>
          <w:rFonts w:cs="Times New Roman"/>
          <w:sz w:val="24"/>
          <w:szCs w:val="24"/>
          <w:lang w:eastAsia="mn-MN"/>
        </w:rPr>
        <w:t>дахь</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заалтуудыг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тус</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тус</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үндэслэн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Санхүүгийн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зохицуулах</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хорооноос</w:t>
      </w:r>
      <w:proofErr w:type="spellEnd"/>
      <w:r w:rsidRPr="00B631B9">
        <w:rPr>
          <w:rFonts w:cs="Times New Roman"/>
          <w:sz w:val="24"/>
          <w:szCs w:val="24"/>
          <w:lang w:eastAsia="mn-MN"/>
        </w:rPr>
        <w:t xml:space="preserve"> ТОГТООХ </w:t>
      </w:r>
      <w:proofErr w:type="spellStart"/>
      <w:r w:rsidRPr="00B631B9">
        <w:rPr>
          <w:rFonts w:cs="Times New Roman"/>
          <w:sz w:val="24"/>
          <w:szCs w:val="24"/>
          <w:lang w:eastAsia="mn-MN"/>
        </w:rPr>
        <w:t>нь</w:t>
      </w:r>
      <w:proofErr w:type="spellEnd"/>
      <w:r w:rsidRPr="00B631B9">
        <w:rPr>
          <w:rFonts w:cs="Times New Roman"/>
          <w:sz w:val="24"/>
          <w:szCs w:val="24"/>
          <w:lang w:eastAsia="mn-MN"/>
        </w:rPr>
        <w:t>:</w:t>
      </w:r>
    </w:p>
    <w:p w:rsidR="00002A89" w:rsidRPr="00B631B9" w:rsidRDefault="00002A89" w:rsidP="00002A89">
      <w:pPr>
        <w:pStyle w:val="Bodytext51"/>
        <w:spacing w:before="0" w:after="0" w:line="240" w:lineRule="auto"/>
        <w:ind w:left="20" w:right="20" w:firstLine="520"/>
        <w:rPr>
          <w:rFonts w:cs="Times New Roman"/>
          <w:sz w:val="24"/>
          <w:szCs w:val="24"/>
        </w:rPr>
      </w:pPr>
    </w:p>
    <w:p w:rsidR="00002A89" w:rsidRPr="00B631B9" w:rsidRDefault="00002A89" w:rsidP="00002A89">
      <w:pPr>
        <w:pStyle w:val="Bodytext1"/>
        <w:numPr>
          <w:ilvl w:val="0"/>
          <w:numId w:val="1"/>
        </w:numPr>
        <w:tabs>
          <w:tab w:val="left" w:pos="1042"/>
        </w:tabs>
        <w:spacing w:before="0" w:after="0" w:line="240" w:lineRule="auto"/>
        <w:ind w:left="20" w:right="20"/>
        <w:rPr>
          <w:rFonts w:cs="Times New Roman"/>
          <w:sz w:val="24"/>
          <w:szCs w:val="24"/>
        </w:rPr>
      </w:pPr>
      <w:r w:rsidRPr="00B631B9">
        <w:rPr>
          <w:rFonts w:cs="Times New Roman"/>
          <w:sz w:val="24"/>
          <w:szCs w:val="24"/>
          <w:lang w:eastAsia="mn-MN"/>
        </w:rPr>
        <w:t>"</w:t>
      </w:r>
      <w:r w:rsidRPr="00B631B9">
        <w:rPr>
          <w:rFonts w:cs="Times New Roman"/>
          <w:sz w:val="24"/>
          <w:szCs w:val="24"/>
          <w:lang w:val="mn-MN" w:eastAsia="mn-MN"/>
        </w:rPr>
        <w:t xml:space="preserve">Эрсдлээс хамгаалах сангийн тухай </w:t>
      </w:r>
      <w:proofErr w:type="spellStart"/>
      <w:r w:rsidRPr="00B631B9">
        <w:rPr>
          <w:rFonts w:cs="Times New Roman"/>
          <w:sz w:val="24"/>
          <w:szCs w:val="24"/>
          <w:lang w:eastAsia="mn-MN"/>
        </w:rPr>
        <w:t>журам</w:t>
      </w:r>
      <w:proofErr w:type="spellEnd"/>
      <w:r w:rsidRPr="00B631B9">
        <w:rPr>
          <w:rFonts w:cs="Times New Roman"/>
          <w:sz w:val="24"/>
          <w:szCs w:val="24"/>
          <w:lang w:eastAsia="mn-MN"/>
        </w:rPr>
        <w:t>"-</w:t>
      </w:r>
      <w:proofErr w:type="spellStart"/>
      <w:r w:rsidRPr="00B631B9">
        <w:rPr>
          <w:rFonts w:cs="Times New Roman"/>
          <w:sz w:val="24"/>
          <w:szCs w:val="24"/>
          <w:lang w:eastAsia="mn-MN"/>
        </w:rPr>
        <w:t>ыг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хавсралтаар</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баталсугай</w:t>
      </w:r>
      <w:proofErr w:type="spellEnd"/>
      <w:r w:rsidRPr="00B631B9">
        <w:rPr>
          <w:rFonts w:cs="Times New Roman"/>
          <w:sz w:val="24"/>
          <w:szCs w:val="24"/>
          <w:lang w:eastAsia="mn-MN"/>
        </w:rPr>
        <w:t>.</w:t>
      </w:r>
    </w:p>
    <w:p w:rsidR="00002A89" w:rsidRPr="00B631B9" w:rsidRDefault="00002A89" w:rsidP="00002A89">
      <w:pPr>
        <w:pStyle w:val="Bodytext1"/>
        <w:tabs>
          <w:tab w:val="left" w:pos="1042"/>
        </w:tabs>
        <w:spacing w:before="0" w:after="0" w:line="240" w:lineRule="auto"/>
        <w:ind w:left="720" w:right="20" w:firstLine="0"/>
        <w:rPr>
          <w:rFonts w:cs="Times New Roman"/>
          <w:sz w:val="24"/>
          <w:szCs w:val="24"/>
        </w:rPr>
      </w:pPr>
    </w:p>
    <w:p w:rsidR="00002A89" w:rsidRPr="00B631B9" w:rsidRDefault="00002A89" w:rsidP="00002A89">
      <w:pPr>
        <w:pStyle w:val="Bodytext1"/>
        <w:numPr>
          <w:ilvl w:val="0"/>
          <w:numId w:val="1"/>
        </w:numPr>
        <w:tabs>
          <w:tab w:val="left" w:pos="1042"/>
        </w:tabs>
        <w:spacing w:before="0" w:after="0" w:line="240" w:lineRule="auto"/>
        <w:ind w:left="20" w:right="20"/>
        <w:rPr>
          <w:rFonts w:cs="Times New Roman"/>
          <w:sz w:val="24"/>
          <w:szCs w:val="24"/>
        </w:rPr>
      </w:pPr>
      <w:proofErr w:type="spellStart"/>
      <w:r w:rsidRPr="00B631B9">
        <w:rPr>
          <w:rFonts w:cs="Times New Roman"/>
          <w:sz w:val="24"/>
          <w:szCs w:val="24"/>
          <w:lang w:eastAsia="mn-MN"/>
        </w:rPr>
        <w:t>Энэхүү</w:t>
      </w:r>
      <w:proofErr w:type="spellEnd"/>
      <w:r w:rsidRPr="00B631B9">
        <w:rPr>
          <w:rFonts w:cs="Times New Roman"/>
          <w:sz w:val="24"/>
          <w:szCs w:val="24"/>
          <w:lang w:eastAsia="mn-MN"/>
        </w:rPr>
        <w:t xml:space="preserve"> </w:t>
      </w:r>
      <w:r w:rsidRPr="00B631B9">
        <w:rPr>
          <w:rFonts w:cs="Times New Roman"/>
          <w:sz w:val="24"/>
          <w:szCs w:val="24"/>
          <w:lang w:val="mn-MN" w:eastAsia="mn-MN"/>
        </w:rPr>
        <w:t>журам батлагдсантай холбогдуулан 2010 оны 6 дугаар сарын 30-ны өдрийн дотор эрсдлээс хамгаалах сангийн хөрөнгөө “ҮЦТТТХТ” ХХК-д тусгайлсан данс нээж байршуулан, гүйцэтгэлийг тус Хороонд тайлагнахыг нийт мэргэжлийн байгууллагын удирдлагуудад үүрэг болгосугай.</w:t>
      </w:r>
    </w:p>
    <w:p w:rsidR="00002A89" w:rsidRPr="00B631B9" w:rsidRDefault="00002A89" w:rsidP="00002A89">
      <w:pPr>
        <w:pStyle w:val="Bodytext1"/>
        <w:tabs>
          <w:tab w:val="left" w:pos="1018"/>
        </w:tabs>
        <w:spacing w:before="0" w:after="0" w:line="240" w:lineRule="auto"/>
        <w:ind w:left="720" w:right="20" w:firstLine="0"/>
        <w:rPr>
          <w:rFonts w:cs="Times New Roman"/>
          <w:sz w:val="24"/>
          <w:szCs w:val="24"/>
        </w:rPr>
      </w:pPr>
    </w:p>
    <w:p w:rsidR="00002A89" w:rsidRPr="007802A1" w:rsidRDefault="00002A89" w:rsidP="00002A89">
      <w:pPr>
        <w:pStyle w:val="Bodytext1"/>
        <w:numPr>
          <w:ilvl w:val="0"/>
          <w:numId w:val="1"/>
        </w:numPr>
        <w:tabs>
          <w:tab w:val="left" w:pos="975"/>
        </w:tabs>
        <w:spacing w:before="0" w:after="0" w:line="240" w:lineRule="auto"/>
        <w:ind w:left="20" w:right="20"/>
        <w:rPr>
          <w:rFonts w:cs="Times New Roman"/>
          <w:sz w:val="24"/>
          <w:szCs w:val="24"/>
        </w:rPr>
      </w:pPr>
      <w:r>
        <w:rPr>
          <w:rFonts w:cs="Times New Roman"/>
          <w:sz w:val="24"/>
          <w:szCs w:val="24"/>
          <w:lang w:val="mn-MN"/>
        </w:rPr>
        <w:t>Батлагдсан журамд</w:t>
      </w:r>
      <w:r w:rsidRPr="00D240A0">
        <w:rPr>
          <w:rFonts w:eastAsia="Times New Roman" w:cs="Times New Roman"/>
          <w:sz w:val="24"/>
          <w:szCs w:val="24"/>
          <w:lang w:val="mn-MN"/>
        </w:rPr>
        <w:t xml:space="preserve"> </w:t>
      </w:r>
      <w:r>
        <w:rPr>
          <w:rFonts w:cs="Times New Roman"/>
          <w:sz w:val="24"/>
          <w:szCs w:val="24"/>
          <w:lang w:val="mn-MN"/>
        </w:rPr>
        <w:t xml:space="preserve">заасны </w:t>
      </w:r>
      <w:r w:rsidRPr="00D240A0">
        <w:rPr>
          <w:rFonts w:cs="Times New Roman"/>
          <w:sz w:val="24"/>
          <w:szCs w:val="24"/>
          <w:lang w:val="mn-MN"/>
        </w:rPr>
        <w:t xml:space="preserve">дагуу холбогдох журам, </w:t>
      </w:r>
      <w:r>
        <w:rPr>
          <w:rFonts w:cs="Times New Roman"/>
          <w:sz w:val="24"/>
          <w:szCs w:val="24"/>
          <w:lang w:val="mn-MN"/>
        </w:rPr>
        <w:t xml:space="preserve">програмдаа 2010 оны </w:t>
      </w:r>
      <w:r w:rsidRPr="00D240A0">
        <w:rPr>
          <w:rFonts w:cs="Times New Roman"/>
          <w:sz w:val="24"/>
          <w:szCs w:val="24"/>
          <w:lang w:val="mn-MN"/>
        </w:rPr>
        <w:t xml:space="preserve">6 дугаар сарын </w:t>
      </w:r>
      <w:r>
        <w:rPr>
          <w:rFonts w:eastAsia="Times New Roman" w:cs="Times New Roman"/>
          <w:sz w:val="24"/>
          <w:szCs w:val="24"/>
          <w:lang w:val="mn-MN"/>
        </w:rPr>
        <w:t>20</w:t>
      </w:r>
      <w:r w:rsidRPr="00D240A0">
        <w:rPr>
          <w:rFonts w:cs="Times New Roman"/>
          <w:sz w:val="24"/>
          <w:szCs w:val="24"/>
          <w:lang w:val="mn-MN"/>
        </w:rPr>
        <w:t>-ны өдрийн дотор өөрчлөлт оруулахыг “ҮЦТТТХТ” ХХК /Т.Гандулам/-д үүрэг болгосугай.</w:t>
      </w:r>
    </w:p>
    <w:p w:rsidR="00002A89" w:rsidRPr="007802A1" w:rsidRDefault="00002A89" w:rsidP="00002A89">
      <w:pPr>
        <w:pStyle w:val="Bodytext1"/>
        <w:tabs>
          <w:tab w:val="left" w:pos="975"/>
        </w:tabs>
        <w:spacing w:before="0" w:after="0" w:line="240" w:lineRule="auto"/>
        <w:ind w:left="720" w:right="20" w:firstLine="0"/>
        <w:rPr>
          <w:rFonts w:cs="Times New Roman"/>
          <w:sz w:val="24"/>
          <w:szCs w:val="24"/>
        </w:rPr>
      </w:pPr>
    </w:p>
    <w:p w:rsidR="00002A89" w:rsidRPr="00B631B9" w:rsidRDefault="00002A89" w:rsidP="00002A89">
      <w:pPr>
        <w:pStyle w:val="Bodytext1"/>
        <w:numPr>
          <w:ilvl w:val="0"/>
          <w:numId w:val="1"/>
        </w:numPr>
        <w:tabs>
          <w:tab w:val="left" w:pos="975"/>
        </w:tabs>
        <w:spacing w:before="0" w:after="0" w:line="240" w:lineRule="auto"/>
        <w:ind w:left="20" w:right="20"/>
        <w:rPr>
          <w:rFonts w:cs="Times New Roman"/>
          <w:sz w:val="24"/>
          <w:szCs w:val="24"/>
        </w:rPr>
      </w:pPr>
      <w:proofErr w:type="spellStart"/>
      <w:r>
        <w:rPr>
          <w:rFonts w:cs="Times New Roman"/>
          <w:sz w:val="24"/>
          <w:szCs w:val="24"/>
          <w:lang w:eastAsia="mn-MN"/>
        </w:rPr>
        <w:t>Батлагдсан</w:t>
      </w:r>
      <w:proofErr w:type="spellEnd"/>
      <w:r>
        <w:rPr>
          <w:rFonts w:cs="Times New Roman"/>
          <w:sz w:val="24"/>
          <w:szCs w:val="24"/>
          <w:lang w:eastAsia="mn-MN"/>
        </w:rPr>
        <w:t xml:space="preserve"> </w:t>
      </w:r>
      <w:proofErr w:type="spellStart"/>
      <w:r>
        <w:rPr>
          <w:rFonts w:cs="Times New Roman"/>
          <w:sz w:val="24"/>
          <w:szCs w:val="24"/>
          <w:lang w:eastAsia="mn-MN"/>
        </w:rPr>
        <w:t>ж</w:t>
      </w:r>
      <w:r w:rsidRPr="00B631B9">
        <w:rPr>
          <w:rFonts w:cs="Times New Roman"/>
          <w:sz w:val="24"/>
          <w:szCs w:val="24"/>
          <w:lang w:eastAsia="mn-MN"/>
        </w:rPr>
        <w:t>ур</w:t>
      </w:r>
      <w:proofErr w:type="spellEnd"/>
      <w:r>
        <w:rPr>
          <w:rFonts w:cs="Times New Roman"/>
          <w:sz w:val="24"/>
          <w:szCs w:val="24"/>
          <w:lang w:val="mn-MN" w:eastAsia="mn-MN"/>
        </w:rPr>
        <w:t>ам, тогтоол</w:t>
      </w:r>
      <w:proofErr w:type="spellStart"/>
      <w:r w:rsidRPr="00B631B9">
        <w:rPr>
          <w:rFonts w:cs="Times New Roman"/>
          <w:sz w:val="24"/>
          <w:szCs w:val="24"/>
          <w:lang w:eastAsia="mn-MN"/>
        </w:rPr>
        <w:t>ын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хэрэгжилтэд</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хяналт</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тавьж</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ажиллахыг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Үнэт</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цаасны</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газар</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Э.Ганбат</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олон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нийтэд</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сурталчилахыг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Тамгын</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газар</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Н.Удаанжаргал</w:t>
      </w:r>
      <w:proofErr w:type="spellEnd"/>
      <w:r w:rsidRPr="00B631B9">
        <w:rPr>
          <w:rFonts w:cs="Times New Roman"/>
          <w:sz w:val="24"/>
          <w:szCs w:val="24"/>
          <w:lang w:eastAsia="mn-MN"/>
        </w:rPr>
        <w:t xml:space="preserve">/-т </w:t>
      </w:r>
      <w:proofErr w:type="spellStart"/>
      <w:r w:rsidRPr="00B631B9">
        <w:rPr>
          <w:rFonts w:cs="Times New Roman"/>
          <w:sz w:val="24"/>
          <w:szCs w:val="24"/>
          <w:lang w:eastAsia="mn-MN"/>
        </w:rPr>
        <w:t>тус</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тус</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даалгасугай</w:t>
      </w:r>
      <w:proofErr w:type="spellEnd"/>
      <w:r w:rsidRPr="00B631B9">
        <w:rPr>
          <w:rFonts w:cs="Times New Roman"/>
          <w:sz w:val="24"/>
          <w:szCs w:val="24"/>
          <w:lang w:eastAsia="mn-MN"/>
        </w:rPr>
        <w:t>.</w:t>
      </w:r>
    </w:p>
    <w:p w:rsidR="00002A89" w:rsidRPr="00B631B9" w:rsidRDefault="00002A89" w:rsidP="00002A89">
      <w:pPr>
        <w:pStyle w:val="Bodytext1"/>
        <w:tabs>
          <w:tab w:val="left" w:pos="975"/>
        </w:tabs>
        <w:spacing w:before="0" w:after="0" w:line="240" w:lineRule="auto"/>
        <w:ind w:right="20"/>
        <w:rPr>
          <w:rFonts w:cs="Times New Roman"/>
          <w:sz w:val="24"/>
          <w:szCs w:val="24"/>
          <w:lang w:eastAsia="mn-MN"/>
        </w:rPr>
      </w:pPr>
    </w:p>
    <w:p w:rsidR="00002A89" w:rsidRPr="00D240A0" w:rsidRDefault="00002A89" w:rsidP="00002A89">
      <w:pPr>
        <w:autoSpaceDE w:val="0"/>
        <w:autoSpaceDN w:val="0"/>
        <w:adjustRightInd w:val="0"/>
        <w:spacing w:after="0" w:line="240" w:lineRule="auto"/>
        <w:ind w:firstLine="360"/>
        <w:jc w:val="both"/>
        <w:rPr>
          <w:rFonts w:ascii="Times New Roman" w:hAnsi="Times New Roman" w:cs="Times New Roman"/>
          <w:sz w:val="24"/>
          <w:szCs w:val="24"/>
          <w:lang w:val="mn-MN"/>
        </w:rPr>
      </w:pPr>
    </w:p>
    <w:p w:rsidR="00002A89" w:rsidRPr="00B631B9" w:rsidRDefault="00002A89" w:rsidP="00002A89">
      <w:pPr>
        <w:autoSpaceDE w:val="0"/>
        <w:autoSpaceDN w:val="0"/>
        <w:adjustRightInd w:val="0"/>
        <w:spacing w:after="0" w:line="240" w:lineRule="auto"/>
        <w:rPr>
          <w:rFonts w:ascii="Times New Roman" w:hAnsi="Times New Roman" w:cs="Times New Roman"/>
          <w:sz w:val="24"/>
          <w:szCs w:val="24"/>
        </w:rPr>
      </w:pPr>
    </w:p>
    <w:p w:rsidR="00002A89" w:rsidRPr="00B631B9" w:rsidRDefault="00002A89" w:rsidP="00002A89">
      <w:pPr>
        <w:autoSpaceDE w:val="0"/>
        <w:autoSpaceDN w:val="0"/>
        <w:adjustRightInd w:val="0"/>
        <w:spacing w:after="0" w:line="240" w:lineRule="auto"/>
        <w:ind w:left="1440" w:firstLine="720"/>
        <w:rPr>
          <w:rFonts w:ascii="Times New Roman" w:hAnsi="Times New Roman" w:cs="Times New Roman"/>
          <w:sz w:val="24"/>
          <w:szCs w:val="24"/>
        </w:rPr>
      </w:pPr>
      <w:r w:rsidRPr="00B631B9">
        <w:rPr>
          <w:rFonts w:ascii="Times New Roman" w:hAnsi="Times New Roman" w:cs="Times New Roman"/>
          <w:sz w:val="24"/>
          <w:szCs w:val="24"/>
        </w:rPr>
        <w:t xml:space="preserve">ДАРГА </w:t>
      </w:r>
      <w:r w:rsidRPr="00B631B9">
        <w:rPr>
          <w:rFonts w:ascii="Times New Roman" w:hAnsi="Times New Roman" w:cs="Times New Roman"/>
          <w:sz w:val="24"/>
          <w:szCs w:val="24"/>
        </w:rPr>
        <w:tab/>
      </w:r>
      <w:r w:rsidRPr="00B631B9">
        <w:rPr>
          <w:rFonts w:ascii="Times New Roman" w:hAnsi="Times New Roman" w:cs="Times New Roman"/>
          <w:sz w:val="24"/>
          <w:szCs w:val="24"/>
        </w:rPr>
        <w:tab/>
      </w:r>
      <w:r w:rsidRPr="00B631B9">
        <w:rPr>
          <w:rFonts w:ascii="Times New Roman" w:hAnsi="Times New Roman" w:cs="Times New Roman"/>
          <w:sz w:val="24"/>
          <w:szCs w:val="24"/>
        </w:rPr>
        <w:tab/>
        <w:t>Д.БАЯРСАЙХАН</w:t>
      </w:r>
    </w:p>
    <w:p w:rsidR="00002A89" w:rsidRPr="00B631B9" w:rsidRDefault="00002A89" w:rsidP="00002A89">
      <w:pPr>
        <w:spacing w:after="0" w:line="240" w:lineRule="auto"/>
        <w:rPr>
          <w:rFonts w:ascii="Times New Roman" w:hAnsi="Times New Roman" w:cs="Times New Roman"/>
          <w:sz w:val="24"/>
          <w:szCs w:val="24"/>
        </w:rPr>
      </w:pPr>
    </w:p>
    <w:p w:rsidR="00002A89" w:rsidRPr="00B631B9" w:rsidRDefault="00002A89" w:rsidP="00002A89">
      <w:pPr>
        <w:spacing w:after="0" w:line="240" w:lineRule="auto"/>
        <w:rPr>
          <w:rFonts w:ascii="Times New Roman" w:hAnsi="Times New Roman" w:cs="Times New Roman"/>
          <w:sz w:val="24"/>
          <w:szCs w:val="24"/>
        </w:rPr>
      </w:pPr>
    </w:p>
    <w:p w:rsidR="00002A89" w:rsidRPr="00B631B9" w:rsidRDefault="00002A89" w:rsidP="00002A89">
      <w:pPr>
        <w:pStyle w:val="Bodytext1"/>
        <w:tabs>
          <w:tab w:val="left" w:pos="975"/>
        </w:tabs>
        <w:spacing w:before="0" w:after="0" w:line="240" w:lineRule="auto"/>
        <w:ind w:right="20"/>
        <w:rPr>
          <w:rFonts w:cs="Times New Roman"/>
          <w:sz w:val="24"/>
          <w:szCs w:val="24"/>
        </w:rPr>
        <w:sectPr w:rsidR="00002A89" w:rsidRPr="00B631B9" w:rsidSect="001D7486">
          <w:pgSz w:w="12240" w:h="15840"/>
          <w:pgMar w:top="1134" w:right="851" w:bottom="851" w:left="1701" w:header="2049" w:footer="401" w:gutter="0"/>
          <w:cols w:space="720"/>
          <w:noEndnote/>
          <w:docGrid w:linePitch="360"/>
        </w:sectPr>
      </w:pPr>
    </w:p>
    <w:p w:rsidR="00002A89" w:rsidRPr="00965C5B" w:rsidRDefault="00002A89" w:rsidP="00002A89">
      <w:pPr>
        <w:pStyle w:val="Bodytext71"/>
        <w:spacing w:after="0" w:line="240" w:lineRule="auto"/>
        <w:ind w:left="4680" w:right="160"/>
        <w:rPr>
          <w:rFonts w:cs="Times New Roman"/>
          <w:sz w:val="20"/>
          <w:szCs w:val="20"/>
        </w:rPr>
      </w:pPr>
      <w:proofErr w:type="spellStart"/>
      <w:r w:rsidRPr="00965C5B">
        <w:rPr>
          <w:rFonts w:cs="Times New Roman"/>
          <w:sz w:val="20"/>
          <w:szCs w:val="20"/>
          <w:lang w:eastAsia="mn-MN"/>
        </w:rPr>
        <w:lastRenderedPageBreak/>
        <w:t>Санхүүгийн</w:t>
      </w:r>
      <w:proofErr w:type="spellEnd"/>
      <w:r w:rsidRPr="00965C5B">
        <w:rPr>
          <w:rFonts w:cs="Times New Roman"/>
          <w:sz w:val="20"/>
          <w:szCs w:val="20"/>
          <w:lang w:eastAsia="mn-MN"/>
        </w:rPr>
        <w:t xml:space="preserve"> </w:t>
      </w:r>
      <w:proofErr w:type="spellStart"/>
      <w:r w:rsidRPr="00965C5B">
        <w:rPr>
          <w:rFonts w:cs="Times New Roman"/>
          <w:sz w:val="20"/>
          <w:szCs w:val="20"/>
          <w:lang w:eastAsia="mn-MN"/>
        </w:rPr>
        <w:t>зохицуулах</w:t>
      </w:r>
      <w:proofErr w:type="spellEnd"/>
      <w:r w:rsidRPr="00965C5B">
        <w:rPr>
          <w:rFonts w:cs="Times New Roman"/>
          <w:sz w:val="20"/>
          <w:szCs w:val="20"/>
          <w:lang w:eastAsia="mn-MN"/>
        </w:rPr>
        <w:t xml:space="preserve"> </w:t>
      </w:r>
      <w:proofErr w:type="spellStart"/>
      <w:r w:rsidRPr="00965C5B">
        <w:rPr>
          <w:rFonts w:cs="Times New Roman"/>
          <w:sz w:val="20"/>
          <w:szCs w:val="20"/>
          <w:lang w:eastAsia="mn-MN"/>
        </w:rPr>
        <w:t>хорооны</w:t>
      </w:r>
      <w:proofErr w:type="spellEnd"/>
      <w:r w:rsidRPr="00965C5B">
        <w:rPr>
          <w:rFonts w:cs="Times New Roman"/>
          <w:sz w:val="20"/>
          <w:szCs w:val="20"/>
          <w:lang w:eastAsia="mn-MN"/>
        </w:rPr>
        <w:t xml:space="preserve"> 2010 </w:t>
      </w:r>
      <w:proofErr w:type="spellStart"/>
      <w:r w:rsidRPr="00965C5B">
        <w:rPr>
          <w:rFonts w:cs="Times New Roman"/>
          <w:sz w:val="20"/>
          <w:szCs w:val="20"/>
          <w:lang w:eastAsia="mn-MN"/>
        </w:rPr>
        <w:t>ны</w:t>
      </w:r>
      <w:proofErr w:type="spellEnd"/>
      <w:r w:rsidRPr="00965C5B">
        <w:rPr>
          <w:rFonts w:cs="Times New Roman"/>
          <w:sz w:val="20"/>
          <w:szCs w:val="20"/>
          <w:lang w:eastAsia="mn-MN"/>
        </w:rPr>
        <w:t xml:space="preserve"> ... </w:t>
      </w:r>
      <w:proofErr w:type="spellStart"/>
      <w:r w:rsidRPr="00965C5B">
        <w:rPr>
          <w:rFonts w:cs="Times New Roman"/>
          <w:sz w:val="20"/>
          <w:szCs w:val="20"/>
          <w:lang w:eastAsia="mn-MN"/>
        </w:rPr>
        <w:t>дугаар</w:t>
      </w:r>
      <w:proofErr w:type="spellEnd"/>
      <w:r w:rsidRPr="00965C5B">
        <w:rPr>
          <w:rFonts w:cs="Times New Roman"/>
          <w:sz w:val="20"/>
          <w:szCs w:val="20"/>
          <w:lang w:val="mn-MN" w:eastAsia="mn-MN"/>
        </w:rPr>
        <w:t xml:space="preserve"> сарын ...-ний өдрийн ... дугаар</w:t>
      </w:r>
      <w:r w:rsidRPr="00965C5B">
        <w:rPr>
          <w:rFonts w:cs="Times New Roman"/>
          <w:sz w:val="20"/>
          <w:szCs w:val="20"/>
          <w:lang w:eastAsia="mn-MN"/>
        </w:rPr>
        <w:t xml:space="preserve"> </w:t>
      </w:r>
      <w:r w:rsidRPr="00965C5B">
        <w:rPr>
          <w:rFonts w:cs="Times New Roman"/>
          <w:sz w:val="20"/>
          <w:szCs w:val="20"/>
          <w:lang w:val="mn-MN" w:eastAsia="mn-MN"/>
        </w:rPr>
        <w:t>т</w:t>
      </w:r>
      <w:proofErr w:type="spellStart"/>
      <w:r w:rsidRPr="00965C5B">
        <w:rPr>
          <w:rFonts w:cs="Times New Roman"/>
          <w:sz w:val="20"/>
          <w:szCs w:val="20"/>
          <w:lang w:eastAsia="mn-MN"/>
        </w:rPr>
        <w:t>огтоолын</w:t>
      </w:r>
      <w:proofErr w:type="spellEnd"/>
      <w:r w:rsidRPr="00965C5B">
        <w:rPr>
          <w:rFonts w:cs="Times New Roman"/>
          <w:sz w:val="20"/>
          <w:szCs w:val="20"/>
          <w:lang w:eastAsia="mn-MN"/>
        </w:rPr>
        <w:t xml:space="preserve"> </w:t>
      </w:r>
      <w:proofErr w:type="spellStart"/>
      <w:r w:rsidRPr="00965C5B">
        <w:rPr>
          <w:rFonts w:cs="Times New Roman"/>
          <w:sz w:val="20"/>
          <w:szCs w:val="20"/>
          <w:lang w:eastAsia="mn-MN"/>
        </w:rPr>
        <w:t>хавсралт</w:t>
      </w:r>
      <w:proofErr w:type="spellEnd"/>
    </w:p>
    <w:p w:rsidR="00002A89" w:rsidRPr="00B631B9" w:rsidRDefault="00002A89" w:rsidP="00002A89">
      <w:pPr>
        <w:pStyle w:val="Bodytext31"/>
        <w:spacing w:line="240" w:lineRule="auto"/>
        <w:ind w:left="140"/>
        <w:rPr>
          <w:rFonts w:cs="Times New Roman"/>
          <w:sz w:val="24"/>
          <w:szCs w:val="24"/>
          <w:lang w:eastAsia="mn-MN"/>
        </w:rPr>
      </w:pPr>
    </w:p>
    <w:p w:rsidR="00002A89" w:rsidRPr="00B631B9" w:rsidRDefault="00002A89" w:rsidP="00002A89">
      <w:pPr>
        <w:pStyle w:val="Bodytext31"/>
        <w:spacing w:line="240" w:lineRule="auto"/>
        <w:ind w:left="140"/>
        <w:rPr>
          <w:rFonts w:cs="Times New Roman"/>
          <w:sz w:val="24"/>
          <w:szCs w:val="24"/>
          <w:lang w:eastAsia="mn-MN"/>
        </w:rPr>
      </w:pPr>
    </w:p>
    <w:p w:rsidR="00002A89" w:rsidRPr="00B631B9" w:rsidRDefault="00002A89" w:rsidP="00002A89">
      <w:pPr>
        <w:pStyle w:val="Bodytext31"/>
        <w:spacing w:line="240" w:lineRule="auto"/>
        <w:ind w:left="140"/>
        <w:rPr>
          <w:rFonts w:cs="Times New Roman"/>
          <w:sz w:val="24"/>
          <w:szCs w:val="24"/>
          <w:lang w:val="mn-MN" w:eastAsia="mn-MN"/>
        </w:rPr>
      </w:pPr>
      <w:r w:rsidRPr="00B631B9">
        <w:rPr>
          <w:rFonts w:cs="Times New Roman"/>
          <w:sz w:val="24"/>
          <w:szCs w:val="24"/>
          <w:lang w:val="mn-MN" w:eastAsia="mn-MN"/>
        </w:rPr>
        <w:t>ЭРСДЛЭЭС ХАМГААЛАХ САНГИЙН ТУХАЙ ЖУРАМ</w:t>
      </w:r>
    </w:p>
    <w:p w:rsidR="00002A89" w:rsidRPr="00B631B9" w:rsidRDefault="00002A89" w:rsidP="00002A89">
      <w:pPr>
        <w:pStyle w:val="Bodytext31"/>
        <w:spacing w:line="240" w:lineRule="auto"/>
        <w:ind w:left="140"/>
        <w:rPr>
          <w:rFonts w:cs="Times New Roman"/>
          <w:sz w:val="24"/>
          <w:szCs w:val="24"/>
        </w:rPr>
      </w:pPr>
    </w:p>
    <w:p w:rsidR="00002A89" w:rsidRPr="00B631B9" w:rsidRDefault="00002A89" w:rsidP="00002A89">
      <w:pPr>
        <w:pStyle w:val="Bodytext31"/>
        <w:spacing w:line="240" w:lineRule="auto"/>
        <w:ind w:left="140"/>
        <w:rPr>
          <w:rFonts w:cs="Times New Roman"/>
          <w:sz w:val="24"/>
          <w:szCs w:val="24"/>
          <w:lang w:eastAsia="mn-MN"/>
        </w:rPr>
      </w:pPr>
      <w:proofErr w:type="spellStart"/>
      <w:r w:rsidRPr="00B631B9">
        <w:rPr>
          <w:rFonts w:cs="Times New Roman"/>
          <w:sz w:val="24"/>
          <w:szCs w:val="24"/>
          <w:lang w:eastAsia="mn-MN"/>
        </w:rPr>
        <w:t>Нэг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Нийтлэг</w:t>
      </w:r>
      <w:proofErr w:type="spellEnd"/>
      <w:r w:rsidRPr="00B631B9">
        <w:rPr>
          <w:rFonts w:cs="Times New Roman"/>
          <w:sz w:val="24"/>
          <w:szCs w:val="24"/>
          <w:lang w:eastAsia="mn-MN"/>
        </w:rPr>
        <w:t xml:space="preserve"> </w:t>
      </w:r>
      <w:proofErr w:type="spellStart"/>
      <w:r w:rsidRPr="00B631B9">
        <w:rPr>
          <w:rFonts w:cs="Times New Roman"/>
          <w:sz w:val="24"/>
          <w:szCs w:val="24"/>
          <w:lang w:eastAsia="mn-MN"/>
        </w:rPr>
        <w:t>үндэслэл</w:t>
      </w:r>
      <w:proofErr w:type="spellEnd"/>
    </w:p>
    <w:p w:rsidR="00002A89" w:rsidRPr="00B631B9" w:rsidRDefault="00002A89" w:rsidP="00002A89">
      <w:pPr>
        <w:pStyle w:val="Bodytext31"/>
        <w:spacing w:line="240" w:lineRule="auto"/>
        <w:ind w:left="140"/>
        <w:rPr>
          <w:rFonts w:cs="Times New Roman"/>
          <w:sz w:val="24"/>
          <w:szCs w:val="24"/>
          <w:lang w:val="mn-MN"/>
        </w:rPr>
      </w:pPr>
    </w:p>
    <w:p w:rsidR="00002A89" w:rsidRPr="00B631B9" w:rsidRDefault="00002A89" w:rsidP="00002A89">
      <w:pPr>
        <w:pStyle w:val="Bodytext31"/>
        <w:spacing w:line="240" w:lineRule="auto"/>
        <w:ind w:left="140"/>
        <w:rPr>
          <w:rFonts w:cs="Times New Roman"/>
          <w:sz w:val="24"/>
          <w:szCs w:val="24"/>
          <w:lang w:val="mn-MN"/>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Энэ журмын зорилго нь үнэт цаасны зах зээлд оролцогч мэргэжлийн байгууллагын эрсдлээс хамгаалах сан бай</w:t>
      </w:r>
      <w:r>
        <w:rPr>
          <w:rFonts w:ascii="Times New Roman" w:hAnsi="Times New Roman" w:cs="Times New Roman"/>
          <w:sz w:val="24"/>
          <w:szCs w:val="24"/>
          <w:lang w:val="mn-MN"/>
        </w:rPr>
        <w:t>гуулах, түүний хөрөнгийг захиран зарцуулах, нөхөж</w:t>
      </w:r>
      <w:r w:rsidRPr="00B631B9">
        <w:rPr>
          <w:rFonts w:ascii="Times New Roman" w:hAnsi="Times New Roman" w:cs="Times New Roman"/>
          <w:sz w:val="24"/>
          <w:szCs w:val="24"/>
          <w:lang w:val="mn-MN"/>
        </w:rPr>
        <w:t xml:space="preserve"> бүрдүүлэх харилцааг зохицуулахад оршино.</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Үнэт цаасны зах зээлд оролцогч мэргэжлийн байгууллага тус бүр эрсдлээс хамгаалах сантай байх бөгөөд сангийн эх үүсвэр нь хувь нийлүүлсэн хөрөнгө болон үйл ажиллагааны ашиг байна.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lang w:val="mn-MN"/>
        </w:rPr>
      </w:pPr>
    </w:p>
    <w:p w:rsidR="00002A89" w:rsidRPr="00B631B9" w:rsidRDefault="00002A89" w:rsidP="00002A89">
      <w:pPr>
        <w:pStyle w:val="ListParagraph"/>
        <w:spacing w:after="0" w:line="240" w:lineRule="auto"/>
        <w:ind w:left="792"/>
        <w:jc w:val="center"/>
        <w:rPr>
          <w:rFonts w:ascii="Times New Roman" w:hAnsi="Times New Roman" w:cs="Times New Roman"/>
          <w:b/>
          <w:sz w:val="24"/>
          <w:szCs w:val="24"/>
          <w:lang w:val="mn-MN"/>
        </w:rPr>
      </w:pPr>
      <w:r w:rsidRPr="00B631B9">
        <w:rPr>
          <w:rFonts w:ascii="Times New Roman" w:hAnsi="Times New Roman" w:cs="Times New Roman"/>
          <w:b/>
          <w:sz w:val="24"/>
          <w:szCs w:val="24"/>
          <w:lang w:val="mn-MN"/>
        </w:rPr>
        <w:t>Хоёр. Эрсдлээс хамгаалах санг байгуулах, нөхөн бүрдүүлэх</w:t>
      </w:r>
    </w:p>
    <w:p w:rsidR="00002A89" w:rsidRPr="00B631B9" w:rsidRDefault="00002A89" w:rsidP="00002A89">
      <w:pPr>
        <w:pStyle w:val="ListParagraph"/>
        <w:spacing w:after="0" w:line="240" w:lineRule="auto"/>
        <w:ind w:left="792"/>
        <w:jc w:val="center"/>
        <w:rPr>
          <w:rFonts w:ascii="Times New Roman" w:hAnsi="Times New Roman" w:cs="Times New Roman"/>
          <w:sz w:val="24"/>
          <w:szCs w:val="24"/>
        </w:rPr>
      </w:pPr>
    </w:p>
    <w:p w:rsidR="00002A89" w:rsidRPr="00B631B9" w:rsidRDefault="00002A89" w:rsidP="00002A89">
      <w:pPr>
        <w:pStyle w:val="ListParagraph"/>
        <w:numPr>
          <w:ilvl w:val="0"/>
          <w:numId w:val="3"/>
        </w:numPr>
        <w:spacing w:after="0" w:line="240" w:lineRule="auto"/>
        <w:jc w:val="both"/>
        <w:rPr>
          <w:rFonts w:ascii="Times New Roman" w:hAnsi="Times New Roman" w:cs="Times New Roman"/>
          <w:vanish/>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Эрсдлээс хамгаалах санг дараах хэмжээгээр байгуулна: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2"/>
          <w:numId w:val="3"/>
        </w:numPr>
        <w:spacing w:after="0" w:line="240" w:lineRule="auto"/>
        <w:ind w:hanging="414"/>
        <w:jc w:val="both"/>
        <w:rPr>
          <w:rFonts w:ascii="Times New Roman" w:hAnsi="Times New Roman" w:cs="Times New Roman"/>
          <w:sz w:val="24"/>
          <w:szCs w:val="24"/>
        </w:rPr>
      </w:pPr>
      <w:r w:rsidRPr="00B631B9">
        <w:rPr>
          <w:rFonts w:ascii="Times New Roman" w:hAnsi="Times New Roman" w:cs="Times New Roman"/>
          <w:sz w:val="24"/>
          <w:szCs w:val="24"/>
          <w:lang w:val="mn-MN"/>
        </w:rPr>
        <w:t>Үнэт цаасны арилжаа эрхлэх байгууллага</w:t>
      </w:r>
      <w:r w:rsidRPr="00B631B9">
        <w:rPr>
          <w:rFonts w:ascii="Times New Roman" w:hAnsi="Times New Roman" w:cs="Times New Roman"/>
          <w:sz w:val="24"/>
          <w:szCs w:val="24"/>
        </w:rPr>
        <w:t xml:space="preserve"> </w:t>
      </w:r>
      <w:r>
        <w:rPr>
          <w:rFonts w:ascii="Times New Roman" w:hAnsi="Times New Roman" w:cs="Times New Roman"/>
          <w:sz w:val="24"/>
          <w:szCs w:val="24"/>
          <w:lang w:val="mn-MN"/>
        </w:rPr>
        <w:t xml:space="preserve">өөрийн </w:t>
      </w:r>
      <w:r w:rsidRPr="00B631B9">
        <w:rPr>
          <w:rFonts w:ascii="Times New Roman" w:hAnsi="Times New Roman" w:cs="Times New Roman"/>
          <w:sz w:val="24"/>
          <w:szCs w:val="24"/>
          <w:lang w:val="mn-MN"/>
        </w:rPr>
        <w:t>эргэ</w:t>
      </w:r>
      <w:r>
        <w:rPr>
          <w:rFonts w:ascii="Times New Roman" w:hAnsi="Times New Roman" w:cs="Times New Roman"/>
          <w:sz w:val="24"/>
          <w:szCs w:val="24"/>
          <w:lang w:val="mn-MN"/>
        </w:rPr>
        <w:t>лтийн хөрөнгийн 1 хувьтай тэнцүү</w:t>
      </w:r>
      <w:r w:rsidRPr="00B631B9">
        <w:rPr>
          <w:rFonts w:ascii="Times New Roman" w:hAnsi="Times New Roman" w:cs="Times New Roman"/>
          <w:sz w:val="24"/>
          <w:szCs w:val="24"/>
          <w:lang w:val="mn-MN"/>
        </w:rPr>
        <w:t xml:space="preserve"> хэмжээгээр;</w:t>
      </w:r>
    </w:p>
    <w:p w:rsidR="00002A89" w:rsidRPr="00B631B9" w:rsidRDefault="00002A89" w:rsidP="00002A89">
      <w:pPr>
        <w:pStyle w:val="ListParagraph"/>
        <w:numPr>
          <w:ilvl w:val="2"/>
          <w:numId w:val="3"/>
        </w:numPr>
        <w:spacing w:after="0" w:line="240" w:lineRule="auto"/>
        <w:ind w:hanging="414"/>
        <w:jc w:val="both"/>
        <w:rPr>
          <w:rFonts w:ascii="Times New Roman" w:hAnsi="Times New Roman" w:cs="Times New Roman"/>
          <w:sz w:val="24"/>
          <w:szCs w:val="24"/>
        </w:rPr>
      </w:pPr>
      <w:r w:rsidRPr="00B631B9">
        <w:rPr>
          <w:rFonts w:ascii="Times New Roman" w:hAnsi="Times New Roman" w:cs="Times New Roman"/>
          <w:sz w:val="24"/>
          <w:szCs w:val="24"/>
          <w:lang w:val="mn-MN"/>
        </w:rPr>
        <w:t>Үнэт цаасны төлбөр тооцоо</w:t>
      </w:r>
      <w:proofErr w:type="spellStart"/>
      <w:r w:rsidRPr="00B631B9">
        <w:rPr>
          <w:rFonts w:ascii="Times New Roman" w:hAnsi="Times New Roman" w:cs="Times New Roman"/>
          <w:sz w:val="24"/>
          <w:szCs w:val="24"/>
        </w:rPr>
        <w:t>ны</w:t>
      </w:r>
      <w:proofErr w:type="spellEnd"/>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үйл</w:t>
      </w:r>
      <w:proofErr w:type="spellEnd"/>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ажиллага</w:t>
      </w:r>
      <w:proofErr w:type="spellEnd"/>
      <w:r w:rsidRPr="00B631B9">
        <w:rPr>
          <w:rFonts w:ascii="Times New Roman" w:hAnsi="Times New Roman" w:cs="Times New Roman"/>
          <w:sz w:val="24"/>
          <w:szCs w:val="24"/>
          <w:lang w:val="mn-MN"/>
        </w:rPr>
        <w:t>а</w:t>
      </w:r>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эрхлэх</w:t>
      </w:r>
      <w:proofErr w:type="spellEnd"/>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байгууллаг</w:t>
      </w:r>
      <w:proofErr w:type="spellEnd"/>
      <w:r w:rsidRPr="00B631B9">
        <w:rPr>
          <w:rFonts w:ascii="Times New Roman" w:hAnsi="Times New Roman" w:cs="Times New Roman"/>
          <w:sz w:val="24"/>
          <w:szCs w:val="24"/>
          <w:lang w:val="mn-MN"/>
        </w:rPr>
        <w:t>а</w:t>
      </w:r>
      <w:r w:rsidRPr="00B631B9">
        <w:rPr>
          <w:rFonts w:ascii="Times New Roman" w:hAnsi="Times New Roman" w:cs="Times New Roman"/>
          <w:sz w:val="24"/>
          <w:szCs w:val="24"/>
        </w:rPr>
        <w:t xml:space="preserve"> </w:t>
      </w:r>
      <w:r w:rsidRPr="00B631B9">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өөрийн </w:t>
      </w:r>
      <w:r w:rsidRPr="00B631B9">
        <w:rPr>
          <w:rFonts w:ascii="Times New Roman" w:hAnsi="Times New Roman" w:cs="Times New Roman"/>
          <w:sz w:val="24"/>
          <w:szCs w:val="24"/>
          <w:lang w:val="mn-MN"/>
        </w:rPr>
        <w:t>эргэ</w:t>
      </w:r>
      <w:r>
        <w:rPr>
          <w:rFonts w:ascii="Times New Roman" w:hAnsi="Times New Roman" w:cs="Times New Roman"/>
          <w:sz w:val="24"/>
          <w:szCs w:val="24"/>
          <w:lang w:val="mn-MN"/>
        </w:rPr>
        <w:t>лтийн хөрөнгийн 1 хувьтай тэнцүү</w:t>
      </w:r>
      <w:r w:rsidRPr="00B631B9">
        <w:rPr>
          <w:rFonts w:ascii="Times New Roman" w:hAnsi="Times New Roman" w:cs="Times New Roman"/>
          <w:sz w:val="24"/>
          <w:szCs w:val="24"/>
          <w:lang w:val="mn-MN"/>
        </w:rPr>
        <w:t xml:space="preserve"> хэмжээгээр</w:t>
      </w:r>
      <w:r w:rsidRPr="00B631B9">
        <w:rPr>
          <w:rFonts w:ascii="Times New Roman" w:hAnsi="Times New Roman" w:cs="Times New Roman"/>
          <w:sz w:val="24"/>
          <w:szCs w:val="24"/>
        </w:rPr>
        <w:t>;</w:t>
      </w:r>
    </w:p>
    <w:p w:rsidR="00002A89" w:rsidRPr="00B631B9" w:rsidRDefault="00002A89" w:rsidP="00002A89">
      <w:pPr>
        <w:pStyle w:val="ListParagraph"/>
        <w:numPr>
          <w:ilvl w:val="2"/>
          <w:numId w:val="3"/>
        </w:numPr>
        <w:spacing w:after="0" w:line="240" w:lineRule="auto"/>
        <w:ind w:hanging="414"/>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Үнэт цаасны хадгаламжийн үйл ажиллагаа эрхлэх байгууллага </w:t>
      </w:r>
      <w:r>
        <w:rPr>
          <w:rFonts w:ascii="Times New Roman" w:hAnsi="Times New Roman" w:cs="Times New Roman"/>
          <w:sz w:val="24"/>
          <w:szCs w:val="24"/>
          <w:lang w:val="mn-MN"/>
        </w:rPr>
        <w:t xml:space="preserve">өөрийн </w:t>
      </w:r>
      <w:r w:rsidRPr="00B631B9">
        <w:rPr>
          <w:rFonts w:ascii="Times New Roman" w:hAnsi="Times New Roman" w:cs="Times New Roman"/>
          <w:sz w:val="24"/>
          <w:szCs w:val="24"/>
          <w:lang w:val="mn-MN"/>
        </w:rPr>
        <w:t xml:space="preserve">эргэлтийн хөрөнгийн </w:t>
      </w:r>
      <w:r>
        <w:rPr>
          <w:rFonts w:ascii="Times New Roman" w:hAnsi="Times New Roman" w:cs="Times New Roman"/>
          <w:sz w:val="24"/>
          <w:szCs w:val="24"/>
          <w:lang w:val="mn-MN"/>
        </w:rPr>
        <w:t>1 хувьтай тэнцүү</w:t>
      </w:r>
      <w:r w:rsidRPr="00B631B9">
        <w:rPr>
          <w:rFonts w:ascii="Times New Roman" w:hAnsi="Times New Roman" w:cs="Times New Roman"/>
          <w:sz w:val="24"/>
          <w:szCs w:val="24"/>
          <w:lang w:val="mn-MN"/>
        </w:rPr>
        <w:t xml:space="preserve"> хэмжээгээр</w:t>
      </w:r>
      <w:r w:rsidRPr="00B631B9">
        <w:rPr>
          <w:rFonts w:ascii="Times New Roman" w:hAnsi="Times New Roman" w:cs="Times New Roman"/>
          <w:sz w:val="24"/>
          <w:szCs w:val="24"/>
        </w:rPr>
        <w:t>;</w:t>
      </w:r>
    </w:p>
    <w:p w:rsidR="00002A89" w:rsidRPr="00B631B9" w:rsidRDefault="00002A89" w:rsidP="00002A89">
      <w:pPr>
        <w:pStyle w:val="ListParagraph"/>
        <w:numPr>
          <w:ilvl w:val="2"/>
          <w:numId w:val="3"/>
        </w:numPr>
        <w:spacing w:after="0" w:line="240" w:lineRule="auto"/>
        <w:ind w:hanging="414"/>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Брокер, дилерийн компани, андеррайтерийн компани,  хөрөнгө оруулалтын зөвлөх компани, хөрөнгө оруулалтын менежментийн компани болон хөрөнгө оруулалтын сан </w:t>
      </w:r>
      <w:r>
        <w:rPr>
          <w:rFonts w:ascii="Times New Roman" w:hAnsi="Times New Roman" w:cs="Times New Roman"/>
          <w:sz w:val="24"/>
          <w:szCs w:val="24"/>
          <w:lang w:val="mn-MN"/>
        </w:rPr>
        <w:t xml:space="preserve">тус бүр өөрийн </w:t>
      </w:r>
      <w:r w:rsidRPr="00B631B9">
        <w:rPr>
          <w:rFonts w:ascii="Times New Roman" w:hAnsi="Times New Roman" w:cs="Times New Roman"/>
          <w:sz w:val="24"/>
          <w:szCs w:val="24"/>
          <w:lang w:val="mn-MN"/>
        </w:rPr>
        <w:t>эргэлтийн хөрөнгийн 3</w:t>
      </w:r>
      <w:r>
        <w:rPr>
          <w:rFonts w:ascii="Times New Roman" w:hAnsi="Times New Roman" w:cs="Times New Roman"/>
          <w:sz w:val="24"/>
          <w:szCs w:val="24"/>
          <w:lang w:val="mn-MN"/>
        </w:rPr>
        <w:t>-аас доошгүй хувьтай тэнцүү</w:t>
      </w:r>
      <w:r w:rsidRPr="00B631B9">
        <w:rPr>
          <w:rFonts w:ascii="Times New Roman" w:hAnsi="Times New Roman" w:cs="Times New Roman"/>
          <w:sz w:val="24"/>
          <w:szCs w:val="24"/>
          <w:lang w:val="mn-MN"/>
        </w:rPr>
        <w:t xml:space="preserve"> хэмжээгээр.</w:t>
      </w:r>
    </w:p>
    <w:p w:rsidR="00002A89" w:rsidRPr="00B631B9" w:rsidRDefault="00002A89" w:rsidP="00002A89">
      <w:pPr>
        <w:pStyle w:val="ListParagraph"/>
        <w:spacing w:after="0" w:line="240" w:lineRule="auto"/>
        <w:ind w:left="1224"/>
        <w:jc w:val="both"/>
        <w:rPr>
          <w:rFonts w:ascii="Times New Roman" w:hAnsi="Times New Roman" w:cs="Times New Roman"/>
          <w:sz w:val="24"/>
          <w:szCs w:val="24"/>
        </w:rPr>
      </w:pPr>
    </w:p>
    <w:p w:rsidR="00002A89" w:rsidRPr="008D4FDE"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Ү</w:t>
      </w:r>
      <w:r w:rsidRPr="00B631B9">
        <w:rPr>
          <w:rFonts w:ascii="Times New Roman" w:hAnsi="Times New Roman" w:cs="Times New Roman"/>
          <w:sz w:val="24"/>
          <w:szCs w:val="24"/>
          <w:lang w:val="mn-MN"/>
        </w:rPr>
        <w:t xml:space="preserve">нэт цаасны зах зээлд хэд хэдэн төрлийн үйл ажиллагааг хавсран эрхлэхээр тусгай зөвшөөрөл авсан </w:t>
      </w:r>
      <w:r>
        <w:rPr>
          <w:rFonts w:ascii="Times New Roman" w:hAnsi="Times New Roman" w:cs="Times New Roman"/>
          <w:sz w:val="24"/>
          <w:szCs w:val="24"/>
          <w:lang w:val="mn-MN"/>
        </w:rPr>
        <w:t>хуулийн этгээд</w:t>
      </w:r>
      <w:r w:rsidRPr="00B631B9">
        <w:rPr>
          <w:rFonts w:ascii="Times New Roman" w:hAnsi="Times New Roman" w:cs="Times New Roman"/>
          <w:sz w:val="24"/>
          <w:szCs w:val="24"/>
          <w:lang w:val="mn-MN"/>
        </w:rPr>
        <w:t xml:space="preserve"> эрсдлээс хамгаалах санг тухайн үйл ажиллагааг эрхлэх этгээдэд энэ журм</w:t>
      </w:r>
      <w:r>
        <w:rPr>
          <w:rFonts w:ascii="Times New Roman" w:hAnsi="Times New Roman" w:cs="Times New Roman"/>
          <w:sz w:val="24"/>
          <w:szCs w:val="24"/>
          <w:lang w:val="mn-MN"/>
        </w:rPr>
        <w:t>ын 2.1-д заасан хэмжээ тус бүрээр нэмэгдүүлж байгуулна.</w:t>
      </w:r>
    </w:p>
    <w:p w:rsidR="00002A89" w:rsidRPr="008D4FDE" w:rsidRDefault="00002A89" w:rsidP="00002A89">
      <w:pPr>
        <w:pStyle w:val="ListParagraph"/>
        <w:spacing w:after="0" w:line="240" w:lineRule="auto"/>
        <w:ind w:left="792"/>
        <w:jc w:val="both"/>
        <w:rPr>
          <w:rFonts w:ascii="Times New Roman" w:hAnsi="Times New Roman" w:cs="Times New Roman"/>
          <w:sz w:val="24"/>
          <w:szCs w:val="24"/>
        </w:rPr>
      </w:pPr>
    </w:p>
    <w:p w:rsidR="00002A89" w:rsidRPr="00D25616"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Эрсдлээс хамгаалах санг үнэт цаасны хадгаламжийн үйл ажиллагаа эрхлэх байгууллага дахь тусгай дансанд байршуулна.</w:t>
      </w:r>
    </w:p>
    <w:p w:rsidR="00002A89" w:rsidRPr="00D25616" w:rsidRDefault="00002A89" w:rsidP="00002A89">
      <w:pPr>
        <w:pStyle w:val="ListParagraph"/>
        <w:spacing w:after="0" w:line="240" w:lineRule="auto"/>
        <w:ind w:left="792"/>
        <w:jc w:val="both"/>
        <w:rPr>
          <w:rFonts w:ascii="Times New Roman" w:hAnsi="Times New Roman" w:cs="Times New Roman"/>
          <w:sz w:val="24"/>
          <w:szCs w:val="24"/>
        </w:rPr>
      </w:pPr>
    </w:p>
    <w:p w:rsidR="00002A89" w:rsidRPr="0031422B"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Э</w:t>
      </w:r>
      <w:r w:rsidRPr="00B631B9">
        <w:rPr>
          <w:rFonts w:ascii="Times New Roman" w:hAnsi="Times New Roman" w:cs="Times New Roman"/>
          <w:sz w:val="24"/>
          <w:szCs w:val="24"/>
          <w:lang w:val="mn-MN"/>
        </w:rPr>
        <w:t xml:space="preserve">рсдлээс хамгаалах сангийн </w:t>
      </w:r>
      <w:r>
        <w:rPr>
          <w:rFonts w:ascii="Times New Roman" w:hAnsi="Times New Roman" w:cs="Times New Roman"/>
          <w:sz w:val="24"/>
          <w:szCs w:val="24"/>
          <w:lang w:val="mn-MN"/>
        </w:rPr>
        <w:t xml:space="preserve">найдвартай хадгалалт, хамгаалалт, </w:t>
      </w:r>
      <w:r w:rsidRPr="00B631B9">
        <w:rPr>
          <w:rFonts w:ascii="Times New Roman" w:hAnsi="Times New Roman" w:cs="Times New Roman"/>
          <w:sz w:val="24"/>
          <w:szCs w:val="24"/>
          <w:lang w:val="mn-MN"/>
        </w:rPr>
        <w:t xml:space="preserve">бүрэн бүтэн байдлыг үнэт цаасны хадгаламжийн үйл ажиллагаа эрхлэх байгууллага </w:t>
      </w:r>
      <w:r>
        <w:rPr>
          <w:rFonts w:ascii="Times New Roman" w:hAnsi="Times New Roman" w:cs="Times New Roman"/>
          <w:sz w:val="24"/>
          <w:szCs w:val="24"/>
          <w:lang w:val="mn-MN"/>
        </w:rPr>
        <w:t xml:space="preserve">бүрэн </w:t>
      </w:r>
      <w:r w:rsidRPr="00B631B9">
        <w:rPr>
          <w:rFonts w:ascii="Times New Roman" w:hAnsi="Times New Roman" w:cs="Times New Roman"/>
          <w:sz w:val="24"/>
          <w:szCs w:val="24"/>
          <w:lang w:val="mn-MN"/>
        </w:rPr>
        <w:t>хариуцна.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D25616"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 xml:space="preserve">Энэ журмын </w:t>
      </w:r>
      <w:r w:rsidRPr="00B631B9">
        <w:rPr>
          <w:rFonts w:ascii="Times New Roman" w:hAnsi="Times New Roman" w:cs="Times New Roman"/>
          <w:sz w:val="24"/>
          <w:szCs w:val="24"/>
          <w:lang w:val="mn-MN"/>
        </w:rPr>
        <w:t>2.1.1</w:t>
      </w:r>
      <w:r>
        <w:rPr>
          <w:rFonts w:ascii="Times New Roman" w:hAnsi="Times New Roman" w:cs="Times New Roman"/>
          <w:sz w:val="24"/>
          <w:szCs w:val="24"/>
          <w:lang w:val="mn-MN"/>
        </w:rPr>
        <w:t xml:space="preserve">-ээс </w:t>
      </w:r>
      <w:r w:rsidRPr="00B631B9">
        <w:rPr>
          <w:rFonts w:ascii="Times New Roman" w:hAnsi="Times New Roman" w:cs="Times New Roman"/>
          <w:sz w:val="24"/>
          <w:szCs w:val="24"/>
          <w:lang w:val="mn-MN"/>
        </w:rPr>
        <w:t xml:space="preserve"> 2.1.3-т заасан</w:t>
      </w:r>
      <w:r>
        <w:rPr>
          <w:rFonts w:ascii="Times New Roman" w:hAnsi="Times New Roman" w:cs="Times New Roman"/>
          <w:sz w:val="24"/>
          <w:szCs w:val="24"/>
          <w:lang w:val="mn-MN"/>
        </w:rPr>
        <w:t xml:space="preserve"> мэргэжлийн байгууллага эрсдлээс хамгаалах санг мөнгөн хөрөнгөөр бүрдүүлнэ.</w:t>
      </w:r>
    </w:p>
    <w:p w:rsidR="00002A89" w:rsidRPr="00D25616"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Энэ журмын 2.1.4-т заасан</w:t>
      </w:r>
      <w:r>
        <w:rPr>
          <w:rFonts w:ascii="Times New Roman" w:hAnsi="Times New Roman" w:cs="Times New Roman"/>
          <w:sz w:val="24"/>
          <w:szCs w:val="24"/>
          <w:lang w:val="mn-MN"/>
        </w:rPr>
        <w:t xml:space="preserve"> мэргэжлийн байгууллага</w:t>
      </w:r>
      <w:r w:rsidRPr="00B631B9">
        <w:rPr>
          <w:rFonts w:ascii="Times New Roman" w:hAnsi="Times New Roman" w:cs="Times New Roman"/>
          <w:sz w:val="24"/>
          <w:szCs w:val="24"/>
          <w:lang w:val="mn-MN"/>
        </w:rPr>
        <w:t xml:space="preserve"> эрсдлээс хамгаалах санг</w:t>
      </w:r>
      <w:r>
        <w:rPr>
          <w:rFonts w:ascii="Times New Roman" w:hAnsi="Times New Roman" w:cs="Times New Roman"/>
          <w:sz w:val="24"/>
          <w:szCs w:val="24"/>
          <w:lang w:val="mn-MN"/>
        </w:rPr>
        <w:t xml:space="preserve"> бүхэлд нь, эсхүл 50-иас доошгүй хувийг мөнгөн хөрөнгөөр, ү</w:t>
      </w:r>
      <w:r w:rsidRPr="00B631B9">
        <w:rPr>
          <w:rFonts w:ascii="Times New Roman" w:hAnsi="Times New Roman" w:cs="Times New Roman"/>
          <w:sz w:val="24"/>
          <w:szCs w:val="24"/>
          <w:lang w:val="mn-MN"/>
        </w:rPr>
        <w:t>лдэх хувий</w:t>
      </w:r>
      <w:r>
        <w:rPr>
          <w:rFonts w:ascii="Times New Roman" w:hAnsi="Times New Roman" w:cs="Times New Roman"/>
          <w:sz w:val="24"/>
          <w:szCs w:val="24"/>
          <w:lang w:val="mn-MN"/>
        </w:rPr>
        <w:t xml:space="preserve">г </w:t>
      </w:r>
      <w:r w:rsidRPr="00B631B9">
        <w:rPr>
          <w:rFonts w:ascii="Times New Roman" w:hAnsi="Times New Roman" w:cs="Times New Roman"/>
          <w:sz w:val="24"/>
          <w:szCs w:val="24"/>
          <w:lang w:val="mn-MN"/>
        </w:rPr>
        <w:t>арилжаа эрхлэх байгууллагаас зарласан ТОП-20 индекст багтсан үнэт цаасаар бүрдүүл</w:t>
      </w:r>
      <w:r>
        <w:rPr>
          <w:rFonts w:ascii="Times New Roman" w:hAnsi="Times New Roman" w:cs="Times New Roman"/>
          <w:sz w:val="24"/>
          <w:szCs w:val="24"/>
          <w:lang w:val="mn-MN"/>
        </w:rPr>
        <w:t>нэ.</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lastRenderedPageBreak/>
        <w:t xml:space="preserve">Мэргэжлийн байгууллага тусгай зөвшөөрөл авсан өдрөөс хойш ажлын 5 хоногийн дотор эрсдлээс хамгаалах санг </w:t>
      </w:r>
      <w:r>
        <w:rPr>
          <w:rFonts w:ascii="Times New Roman" w:hAnsi="Times New Roman" w:cs="Times New Roman"/>
          <w:sz w:val="24"/>
          <w:szCs w:val="24"/>
          <w:lang w:val="mn-MN"/>
        </w:rPr>
        <w:t xml:space="preserve">энэ журмын дагуу </w:t>
      </w:r>
      <w:r w:rsidRPr="00B631B9">
        <w:rPr>
          <w:rFonts w:ascii="Times New Roman" w:hAnsi="Times New Roman" w:cs="Times New Roman"/>
          <w:sz w:val="24"/>
          <w:szCs w:val="24"/>
          <w:lang w:val="mn-MN"/>
        </w:rPr>
        <w:t>байршуулж Хороонд мэдэгдэнэ.</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Энэ журмын 2.1.4-т заасан эрсдлээс хамгаалах сангийн хөрөнгө заавал байх доод хэмжээндээ хүрч буй эсэх, мөнгөн хөрөнгийн болон үнэт цаасны харьцаа хангагдаж байгаа эсэхэд үнэт цаасны хадгаламжийн үйл ажиллагаа эрхлэх байгууллага өдөр тутам хяналт тавина.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Эрсдлээс хамгаалах сангийн хөрөнгө заавал байх доод хэмжээндээ хүрэхгүй болсон, мөнгөн хөрөнгийн болон үнэт цаасны харьцаа </w:t>
      </w:r>
      <w:r>
        <w:rPr>
          <w:rFonts w:ascii="Times New Roman" w:hAnsi="Times New Roman" w:cs="Times New Roman"/>
          <w:sz w:val="24"/>
          <w:szCs w:val="24"/>
          <w:lang w:val="mn-MN"/>
        </w:rPr>
        <w:t>алдагдсан</w:t>
      </w:r>
      <w:r w:rsidRPr="00B631B9">
        <w:rPr>
          <w:rFonts w:ascii="Times New Roman" w:hAnsi="Times New Roman" w:cs="Times New Roman"/>
          <w:sz w:val="24"/>
          <w:szCs w:val="24"/>
          <w:lang w:val="mn-MN"/>
        </w:rPr>
        <w:t xml:space="preserve"> тохиолдолд үнэт цаасны хадгаламжийн үйл ажиллагаа эрхлэх байгууллага нь тухайн мэргэжлийн байгууллагад ажлын </w:t>
      </w:r>
      <w:r>
        <w:rPr>
          <w:rFonts w:ascii="Times New Roman" w:hAnsi="Times New Roman" w:cs="Times New Roman"/>
          <w:sz w:val="24"/>
          <w:szCs w:val="24"/>
          <w:lang w:val="mn-MN"/>
        </w:rPr>
        <w:t>өдрийн</w:t>
      </w:r>
      <w:r w:rsidRPr="00B631B9">
        <w:rPr>
          <w:rFonts w:ascii="Times New Roman" w:hAnsi="Times New Roman" w:cs="Times New Roman"/>
          <w:sz w:val="24"/>
          <w:szCs w:val="24"/>
          <w:lang w:val="mn-MN"/>
        </w:rPr>
        <w:t xml:space="preserve"> дотор </w:t>
      </w:r>
      <w:r>
        <w:rPr>
          <w:rFonts w:ascii="Times New Roman" w:hAnsi="Times New Roman" w:cs="Times New Roman"/>
          <w:sz w:val="24"/>
          <w:szCs w:val="24"/>
          <w:lang w:val="mn-MN"/>
        </w:rPr>
        <w:t>мэдэгдэж нөхөн бүрдүүлэх арга хэмжээ авна</w:t>
      </w:r>
      <w:r w:rsidRPr="00B631B9">
        <w:rPr>
          <w:rFonts w:ascii="Times New Roman" w:hAnsi="Times New Roman" w:cs="Times New Roman"/>
          <w:sz w:val="24"/>
          <w:szCs w:val="24"/>
          <w:lang w:val="mn-MN"/>
        </w:rPr>
        <w:t xml:space="preserve">. </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AC567C"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Энэ журмын 2.7-д заасан мэдэгдлийг хүлээн авсан мэргэжлийн байгууллага ажлын 3 </w:t>
      </w:r>
      <w:r>
        <w:rPr>
          <w:rFonts w:ascii="Times New Roman" w:hAnsi="Times New Roman" w:cs="Times New Roman"/>
          <w:sz w:val="24"/>
          <w:szCs w:val="24"/>
          <w:lang w:val="mn-MN"/>
        </w:rPr>
        <w:t>өдрийн</w:t>
      </w:r>
      <w:r w:rsidRPr="00B631B9">
        <w:rPr>
          <w:rFonts w:ascii="Times New Roman" w:hAnsi="Times New Roman" w:cs="Times New Roman"/>
          <w:sz w:val="24"/>
          <w:szCs w:val="24"/>
          <w:lang w:val="mn-MN"/>
        </w:rPr>
        <w:t xml:space="preserve"> дотор </w:t>
      </w:r>
      <w:r>
        <w:rPr>
          <w:rFonts w:ascii="Times New Roman" w:hAnsi="Times New Roman" w:cs="Times New Roman"/>
          <w:sz w:val="24"/>
          <w:szCs w:val="24"/>
          <w:lang w:val="mn-MN"/>
        </w:rPr>
        <w:t>эрсдлээс хамгаалах санг бүрэн хэмжээгээр нөхөн бүрдүүлэхгүй</w:t>
      </w:r>
      <w:r w:rsidRPr="00B631B9">
        <w:rPr>
          <w:rFonts w:ascii="Times New Roman" w:hAnsi="Times New Roman" w:cs="Times New Roman"/>
          <w:sz w:val="24"/>
          <w:szCs w:val="24"/>
          <w:lang w:val="mn-MN"/>
        </w:rPr>
        <w:t xml:space="preserve"> тохиолдолд</w:t>
      </w:r>
      <w:r>
        <w:rPr>
          <w:rFonts w:ascii="Times New Roman" w:hAnsi="Times New Roman" w:cs="Times New Roman"/>
          <w:sz w:val="24"/>
          <w:szCs w:val="24"/>
          <w:lang w:val="mn-MN"/>
        </w:rPr>
        <w:t xml:space="preserve"> энэ тухай</w:t>
      </w:r>
      <w:r w:rsidRPr="00B631B9">
        <w:rPr>
          <w:rFonts w:ascii="Times New Roman" w:hAnsi="Times New Roman" w:cs="Times New Roman"/>
          <w:sz w:val="24"/>
          <w:szCs w:val="24"/>
          <w:lang w:val="mn-MN"/>
        </w:rPr>
        <w:t xml:space="preserve"> үнэт цаасны хадгаламжийн үйл а</w:t>
      </w:r>
      <w:r>
        <w:rPr>
          <w:rFonts w:ascii="Times New Roman" w:hAnsi="Times New Roman" w:cs="Times New Roman"/>
          <w:sz w:val="24"/>
          <w:szCs w:val="24"/>
          <w:lang w:val="mn-MN"/>
        </w:rPr>
        <w:t xml:space="preserve">жиллагаа эрхлэх байгууллага нь </w:t>
      </w:r>
      <w:r w:rsidRPr="00B631B9">
        <w:rPr>
          <w:rFonts w:ascii="Times New Roman" w:hAnsi="Times New Roman" w:cs="Times New Roman"/>
          <w:sz w:val="24"/>
          <w:szCs w:val="24"/>
          <w:lang w:val="mn-MN"/>
        </w:rPr>
        <w:t>Хороонд даруй мэдэгдэнэ.</w:t>
      </w:r>
    </w:p>
    <w:p w:rsidR="00002A89" w:rsidRPr="00AC567C" w:rsidRDefault="00002A89" w:rsidP="00002A89">
      <w:pPr>
        <w:pStyle w:val="ListParagraph"/>
        <w:spacing w:after="0" w:line="240" w:lineRule="auto"/>
        <w:ind w:left="792"/>
        <w:jc w:val="both"/>
        <w:rPr>
          <w:rFonts w:ascii="Times New Roman" w:hAnsi="Times New Roman" w:cs="Times New Roman"/>
          <w:sz w:val="24"/>
          <w:szCs w:val="24"/>
        </w:rPr>
      </w:pPr>
    </w:p>
    <w:p w:rsidR="00002A89" w:rsidRPr="00C15365"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Хороо мэдэгдлийг хүлээн авсан даруйдаа мэргэжлийн байгууллагад хугацаатай үүрэг өгөх бөгөөд уг хугацаанд дилерийн дансанд арилжаа хийхээс бусад гүйлгээ хийхийг хориглоно.</w:t>
      </w:r>
    </w:p>
    <w:p w:rsidR="00002A89" w:rsidRPr="00C15365"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n-MN"/>
        </w:rPr>
        <w:t xml:space="preserve">Энэ журмын 2.11-т заасан хугацаанд </w:t>
      </w:r>
      <w:r w:rsidRPr="00B631B9">
        <w:rPr>
          <w:rFonts w:ascii="Times New Roman" w:hAnsi="Times New Roman" w:cs="Times New Roman"/>
          <w:sz w:val="24"/>
          <w:szCs w:val="24"/>
          <w:lang w:val="mn-MN"/>
        </w:rPr>
        <w:t>эрсдлийн санг бүрдүүлээгүй  бол</w:t>
      </w:r>
      <w:r>
        <w:rPr>
          <w:rFonts w:ascii="Times New Roman" w:hAnsi="Times New Roman" w:cs="Times New Roman"/>
          <w:sz w:val="24"/>
          <w:szCs w:val="24"/>
          <w:lang w:val="mn-MN"/>
        </w:rPr>
        <w:t xml:space="preserve"> Хороо холбогдох хуульд заасны дагуу хариуцлага хүлээлгэх ба</w:t>
      </w:r>
      <w:r w:rsidRPr="00B631B9">
        <w:rPr>
          <w:rFonts w:ascii="Times New Roman" w:hAnsi="Times New Roman" w:cs="Times New Roman"/>
          <w:sz w:val="24"/>
          <w:szCs w:val="24"/>
          <w:lang w:val="mn-MN"/>
        </w:rPr>
        <w:t xml:space="preserve"> тухай</w:t>
      </w:r>
      <w:r>
        <w:rPr>
          <w:rFonts w:ascii="Times New Roman" w:hAnsi="Times New Roman" w:cs="Times New Roman"/>
          <w:sz w:val="24"/>
          <w:szCs w:val="24"/>
          <w:lang w:val="mn-MN"/>
        </w:rPr>
        <w:t>н</w:t>
      </w:r>
      <w:r w:rsidRPr="00B631B9">
        <w:rPr>
          <w:rFonts w:ascii="Times New Roman" w:hAnsi="Times New Roman" w:cs="Times New Roman"/>
          <w:sz w:val="24"/>
          <w:szCs w:val="24"/>
          <w:lang w:val="mn-MN"/>
        </w:rPr>
        <w:t xml:space="preserve"> мэргэжлийн байгууллагын дилерийн данс дахь хөрөнгийг шилжүүлэх үүргийг үнэт цаасны гүйлгээний хяналтын ахлах байцаагч үнэт цаасны хадгаламжийн үй</w:t>
      </w:r>
      <w:r>
        <w:rPr>
          <w:rFonts w:ascii="Times New Roman" w:hAnsi="Times New Roman" w:cs="Times New Roman"/>
          <w:sz w:val="24"/>
          <w:szCs w:val="24"/>
          <w:lang w:val="mn-MN"/>
        </w:rPr>
        <w:t>л</w:t>
      </w:r>
      <w:r w:rsidRPr="00B631B9">
        <w:rPr>
          <w:rFonts w:ascii="Times New Roman" w:hAnsi="Times New Roman" w:cs="Times New Roman"/>
          <w:sz w:val="24"/>
          <w:szCs w:val="24"/>
          <w:lang w:val="mn-MN"/>
        </w:rPr>
        <w:t xml:space="preserve"> ажиллагаа эрхлэх байгууллагад өгнө.</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Дилерийн данс дахь хөрөнгө хүрэлцэхгүй тохиолдолд уг дансаар хийгдэх зарлагын гүйлгээг 1 сар хүртэл хугацагаар зогсоох бөгөөд уг хугацаанд эрсдлээс хамгаалах сангийн хөрөнгийг бүрдүүлээгүй бол </w:t>
      </w:r>
      <w:r>
        <w:rPr>
          <w:rFonts w:ascii="Times New Roman" w:hAnsi="Times New Roman" w:cs="Times New Roman"/>
          <w:sz w:val="24"/>
          <w:szCs w:val="24"/>
          <w:lang w:val="mn-MN"/>
        </w:rPr>
        <w:t xml:space="preserve">Хороо </w:t>
      </w:r>
      <w:r w:rsidRPr="00B631B9">
        <w:rPr>
          <w:rFonts w:ascii="Times New Roman" w:hAnsi="Times New Roman" w:cs="Times New Roman"/>
          <w:sz w:val="24"/>
          <w:szCs w:val="24"/>
          <w:lang w:val="mn-MN"/>
        </w:rPr>
        <w:t>тусгай зөвшөөрлийг түдгэлзүүлэх, хүчингүй болгох хүртэл арга хэмжээ авна.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spacing w:after="0" w:line="240" w:lineRule="auto"/>
        <w:ind w:left="792"/>
        <w:jc w:val="both"/>
        <w:rPr>
          <w:rFonts w:ascii="Times New Roman" w:hAnsi="Times New Roman" w:cs="Times New Roman"/>
          <w:sz w:val="24"/>
          <w:szCs w:val="24"/>
          <w:lang w:val="mn-MN"/>
        </w:rPr>
      </w:pPr>
    </w:p>
    <w:p w:rsidR="00002A89" w:rsidRPr="00B631B9" w:rsidRDefault="00002A89" w:rsidP="00002A89">
      <w:pPr>
        <w:pStyle w:val="ListParagraph"/>
        <w:spacing w:after="0" w:line="240" w:lineRule="auto"/>
        <w:ind w:left="792"/>
        <w:jc w:val="center"/>
        <w:rPr>
          <w:rFonts w:ascii="Times New Roman" w:hAnsi="Times New Roman" w:cs="Times New Roman"/>
          <w:b/>
          <w:sz w:val="24"/>
          <w:szCs w:val="24"/>
        </w:rPr>
      </w:pPr>
      <w:r w:rsidRPr="00B631B9">
        <w:rPr>
          <w:rFonts w:ascii="Times New Roman" w:hAnsi="Times New Roman" w:cs="Times New Roman"/>
          <w:b/>
          <w:sz w:val="24"/>
          <w:szCs w:val="24"/>
          <w:lang w:val="mn-MN"/>
        </w:rPr>
        <w:t>Гурав. Эрсдлээс хамгаалах сангийн хөрөнгийг захиран зарцуулах</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0"/>
          <w:numId w:val="3"/>
        </w:numPr>
        <w:spacing w:after="0" w:line="240" w:lineRule="auto"/>
        <w:jc w:val="both"/>
        <w:rPr>
          <w:rFonts w:ascii="Times New Roman" w:hAnsi="Times New Roman" w:cs="Times New Roman"/>
          <w:vanish/>
          <w:sz w:val="24"/>
          <w:szCs w:val="24"/>
          <w:lang w:val="mn-MN"/>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Эрсдлээс хамгаалах сангийн хөрөнгийг тухайн мэргэжлийн байгууллага, түүний ажилтны хууль бус үйл ажиллагааны улмаас</w:t>
      </w:r>
      <w:r>
        <w:rPr>
          <w:rFonts w:ascii="Times New Roman" w:hAnsi="Times New Roman" w:cs="Times New Roman"/>
          <w:sz w:val="24"/>
          <w:szCs w:val="24"/>
          <w:lang w:val="mn-MN"/>
        </w:rPr>
        <w:t>,</w:t>
      </w:r>
      <w:r w:rsidRPr="00B631B9">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эсхүл зохих журмын дагуу үйл ажиллагаа явуулаагүйн улмаас </w:t>
      </w:r>
      <w:proofErr w:type="spellStart"/>
      <w:r w:rsidRPr="00B631B9">
        <w:rPr>
          <w:rFonts w:ascii="Times New Roman" w:hAnsi="Times New Roman" w:cs="Times New Roman"/>
          <w:sz w:val="24"/>
          <w:szCs w:val="24"/>
        </w:rPr>
        <w:t>хөрөнгө</w:t>
      </w:r>
      <w:proofErr w:type="spellEnd"/>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оруулагч</w:t>
      </w:r>
      <w:proofErr w:type="spellEnd"/>
      <w:r w:rsidRPr="00B631B9">
        <w:rPr>
          <w:rFonts w:ascii="Times New Roman" w:hAnsi="Times New Roman" w:cs="Times New Roman"/>
          <w:sz w:val="24"/>
          <w:szCs w:val="24"/>
        </w:rPr>
        <w:t xml:space="preserve">, </w:t>
      </w:r>
      <w:proofErr w:type="spellStart"/>
      <w:r w:rsidRPr="00B631B9">
        <w:rPr>
          <w:rFonts w:ascii="Times New Roman" w:hAnsi="Times New Roman" w:cs="Times New Roman"/>
          <w:sz w:val="24"/>
          <w:szCs w:val="24"/>
        </w:rPr>
        <w:t>харилцаг</w:t>
      </w:r>
      <w:proofErr w:type="spellEnd"/>
      <w:r w:rsidRPr="00B631B9">
        <w:rPr>
          <w:rFonts w:ascii="Times New Roman" w:hAnsi="Times New Roman" w:cs="Times New Roman"/>
          <w:sz w:val="24"/>
          <w:szCs w:val="24"/>
          <w:lang w:val="mn-MN"/>
        </w:rPr>
        <w:t>чид уч</w:t>
      </w:r>
      <w:r>
        <w:rPr>
          <w:rFonts w:ascii="Times New Roman" w:hAnsi="Times New Roman" w:cs="Times New Roman"/>
          <w:sz w:val="24"/>
          <w:szCs w:val="24"/>
          <w:lang w:val="mn-MN"/>
        </w:rPr>
        <w:t>ирсан х</w:t>
      </w:r>
      <w:r w:rsidRPr="00B631B9">
        <w:rPr>
          <w:rFonts w:ascii="Times New Roman" w:hAnsi="Times New Roman" w:cs="Times New Roman"/>
          <w:sz w:val="24"/>
          <w:szCs w:val="24"/>
          <w:lang w:val="mn-MN"/>
        </w:rPr>
        <w:t>охирлыг барагдуулах тохиолдолд мэргэжлийн байгууллагын болон үнэт цаасны гүйлгээний хяналтын ахлах байцаагчийн шийдвэрээр захиран зарцуулна.</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AC567C"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Эрсдлээс хамгаалах сангийн хөрөнгөөс захиран зарцуулсны дараа болон үнэт цаасны ханшийн зөрүүний улмаас эрсдлээс хамгаалах сангийн хөрөнгө заавал бай</w:t>
      </w:r>
      <w:r>
        <w:rPr>
          <w:rFonts w:ascii="Times New Roman" w:hAnsi="Times New Roman" w:cs="Times New Roman"/>
          <w:sz w:val="24"/>
          <w:szCs w:val="24"/>
          <w:lang w:val="mn-MN"/>
        </w:rPr>
        <w:t>х</w:t>
      </w:r>
      <w:r w:rsidRPr="00B631B9">
        <w:rPr>
          <w:rFonts w:ascii="Times New Roman" w:hAnsi="Times New Roman" w:cs="Times New Roman"/>
          <w:sz w:val="24"/>
          <w:szCs w:val="24"/>
          <w:lang w:val="mn-MN"/>
        </w:rPr>
        <w:t xml:space="preserve"> доод хэмжээнд хүрэхгүй болсон тохиолдолд энэ журмын 2 дугаар зүйлд заасны дагуу хөрөнгийг нөхөн бүрдүүлнэ.</w:t>
      </w:r>
    </w:p>
    <w:p w:rsidR="00002A89" w:rsidRPr="00AC567C"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Ханшийн зөрүүн</w:t>
      </w:r>
      <w:r>
        <w:rPr>
          <w:rFonts w:ascii="Times New Roman" w:hAnsi="Times New Roman" w:cs="Times New Roman"/>
          <w:sz w:val="24"/>
          <w:szCs w:val="24"/>
          <w:lang w:val="mn-MN"/>
        </w:rPr>
        <w:t xml:space="preserve">ээс </w:t>
      </w:r>
      <w:r w:rsidRPr="00B631B9">
        <w:rPr>
          <w:rFonts w:ascii="Times New Roman" w:hAnsi="Times New Roman" w:cs="Times New Roman"/>
          <w:sz w:val="24"/>
          <w:szCs w:val="24"/>
          <w:lang w:val="mn-MN"/>
        </w:rPr>
        <w:t>болон эргэлтийн хөрөнгийн хэмжээ багассанаас шалтгаалан эрсдлээс хамгаалах сан</w:t>
      </w:r>
      <w:r>
        <w:rPr>
          <w:rFonts w:ascii="Times New Roman" w:hAnsi="Times New Roman" w:cs="Times New Roman"/>
          <w:sz w:val="24"/>
          <w:szCs w:val="24"/>
          <w:lang w:val="mn-MN"/>
        </w:rPr>
        <w:t xml:space="preserve">гийн </w:t>
      </w:r>
      <w:r w:rsidRPr="00B631B9">
        <w:rPr>
          <w:rFonts w:ascii="Times New Roman" w:hAnsi="Times New Roman" w:cs="Times New Roman"/>
          <w:sz w:val="24"/>
          <w:szCs w:val="24"/>
          <w:lang w:val="mn-MN"/>
        </w:rPr>
        <w:t>хөрөнг</w:t>
      </w:r>
      <w:r>
        <w:rPr>
          <w:rFonts w:ascii="Times New Roman" w:hAnsi="Times New Roman" w:cs="Times New Roman"/>
          <w:sz w:val="24"/>
          <w:szCs w:val="24"/>
          <w:lang w:val="mn-MN"/>
        </w:rPr>
        <w:t xml:space="preserve">ө заавал байх доод хэмжээнээс хэтэрсэн </w:t>
      </w:r>
      <w:r>
        <w:rPr>
          <w:rFonts w:ascii="Times New Roman" w:hAnsi="Times New Roman" w:cs="Times New Roman"/>
          <w:sz w:val="24"/>
          <w:szCs w:val="24"/>
          <w:lang w:val="mn-MN"/>
        </w:rPr>
        <w:lastRenderedPageBreak/>
        <w:t xml:space="preserve">тохиолдолд тухайн </w:t>
      </w:r>
      <w:r w:rsidRPr="00B631B9">
        <w:rPr>
          <w:rFonts w:ascii="Times New Roman" w:hAnsi="Times New Roman" w:cs="Times New Roman"/>
          <w:sz w:val="24"/>
          <w:szCs w:val="24"/>
          <w:lang w:val="mn-MN"/>
        </w:rPr>
        <w:t xml:space="preserve">мэргэжлийн байгууллага </w:t>
      </w:r>
      <w:r>
        <w:rPr>
          <w:rFonts w:ascii="Times New Roman" w:hAnsi="Times New Roman" w:cs="Times New Roman"/>
          <w:sz w:val="24"/>
          <w:szCs w:val="24"/>
          <w:lang w:val="mn-MN"/>
        </w:rPr>
        <w:t xml:space="preserve">илүүдэл хөрөнгийг өөр зориуцлалтаар </w:t>
      </w:r>
      <w:r w:rsidRPr="00B631B9">
        <w:rPr>
          <w:rFonts w:ascii="Times New Roman" w:hAnsi="Times New Roman" w:cs="Times New Roman"/>
          <w:sz w:val="24"/>
          <w:szCs w:val="24"/>
          <w:lang w:val="mn-MN"/>
        </w:rPr>
        <w:t xml:space="preserve">захиран зарцуулах эрхтэй. </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Мэргэжлийн байгууллагын тусгай зөвшөөрөл хүчингүй болсон тохиолдолд эрсдлийн сангийн хөрөнгийг</w:t>
      </w:r>
      <w:r>
        <w:rPr>
          <w:rFonts w:ascii="Times New Roman" w:hAnsi="Times New Roman" w:cs="Times New Roman"/>
          <w:sz w:val="24"/>
          <w:szCs w:val="24"/>
          <w:lang w:val="mn-MN"/>
        </w:rPr>
        <w:t xml:space="preserve"> тухайн хуулийн этгээдэд 5 жилийн хугацаанд буцаан олгохгүй бөгөөд уг хөрөнгөөр энэ журмын 3.1-т заасан хохирлыг барагдуулна</w:t>
      </w:r>
      <w:r w:rsidRPr="00B631B9">
        <w:rPr>
          <w:rFonts w:ascii="Times New Roman" w:hAnsi="Times New Roman" w:cs="Times New Roman"/>
          <w:sz w:val="24"/>
          <w:szCs w:val="24"/>
          <w:lang w:val="mn-MN"/>
        </w:rPr>
        <w:t>.</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Энэ журмын 3.4-т заасан хугацаа өнгөрсөн, эсхүл мэ</w:t>
      </w:r>
      <w:r>
        <w:rPr>
          <w:rFonts w:ascii="Times New Roman" w:hAnsi="Times New Roman" w:cs="Times New Roman"/>
          <w:sz w:val="24"/>
          <w:szCs w:val="24"/>
          <w:lang w:val="mn-MN"/>
        </w:rPr>
        <w:t>ргэжлийн байгууллага татан буулг</w:t>
      </w:r>
      <w:r w:rsidRPr="00B631B9">
        <w:rPr>
          <w:rFonts w:ascii="Times New Roman" w:hAnsi="Times New Roman" w:cs="Times New Roman"/>
          <w:sz w:val="24"/>
          <w:szCs w:val="24"/>
          <w:lang w:val="mn-MN"/>
        </w:rPr>
        <w:t>ах шийдвэр гаргаж</w:t>
      </w:r>
      <w:r>
        <w:rPr>
          <w:rFonts w:ascii="Times New Roman" w:hAnsi="Times New Roman" w:cs="Times New Roman"/>
          <w:sz w:val="24"/>
          <w:szCs w:val="24"/>
          <w:lang w:val="mn-MN"/>
        </w:rPr>
        <w:t>,</w:t>
      </w:r>
      <w:r w:rsidRPr="00B631B9">
        <w:rPr>
          <w:rFonts w:ascii="Times New Roman" w:hAnsi="Times New Roman" w:cs="Times New Roman"/>
          <w:sz w:val="24"/>
          <w:szCs w:val="24"/>
          <w:lang w:val="mn-MN"/>
        </w:rPr>
        <w:t xml:space="preserve"> нийтэд мэдээлсэн нэхэмжлэл гаргах хугацаанд ямар нэг нэхэмжлэл гараагүй тохиолдолд эрсдлээс хамгаалах сангийн үлдэгдэл хөрөнгийг мэргэжлийн байгууллагад эргүүлэн олгоно.</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 xml:space="preserve">Мэргэжлийн байгууллага эрсдлээс хамгаалах сангийн зарцуулалтыг </w:t>
      </w:r>
      <w:r>
        <w:rPr>
          <w:rFonts w:ascii="Times New Roman" w:hAnsi="Times New Roman" w:cs="Times New Roman"/>
          <w:sz w:val="24"/>
          <w:szCs w:val="24"/>
          <w:lang w:val="mn-MN"/>
        </w:rPr>
        <w:t xml:space="preserve">бүрэн тусгасан </w:t>
      </w:r>
      <w:r w:rsidRPr="00B631B9">
        <w:rPr>
          <w:rFonts w:ascii="Times New Roman" w:hAnsi="Times New Roman" w:cs="Times New Roman"/>
          <w:sz w:val="24"/>
          <w:szCs w:val="24"/>
          <w:lang w:val="mn-MN"/>
        </w:rPr>
        <w:t xml:space="preserve">дансны дэлгэрэнгүй хуулгыг </w:t>
      </w:r>
      <w:r>
        <w:rPr>
          <w:rFonts w:ascii="Times New Roman" w:hAnsi="Times New Roman" w:cs="Times New Roman"/>
          <w:sz w:val="24"/>
          <w:szCs w:val="24"/>
          <w:lang w:val="mn-MN"/>
        </w:rPr>
        <w:t xml:space="preserve">Хороонд ирүүлэх </w:t>
      </w:r>
      <w:r w:rsidRPr="00B631B9">
        <w:rPr>
          <w:rFonts w:ascii="Times New Roman" w:hAnsi="Times New Roman" w:cs="Times New Roman"/>
          <w:sz w:val="24"/>
          <w:szCs w:val="24"/>
          <w:lang w:val="mn-MN"/>
        </w:rPr>
        <w:t xml:space="preserve">санхүүгийн тайлан бүртээ </w:t>
      </w:r>
      <w:r>
        <w:rPr>
          <w:rFonts w:ascii="Times New Roman" w:hAnsi="Times New Roman" w:cs="Times New Roman"/>
          <w:sz w:val="24"/>
          <w:szCs w:val="24"/>
          <w:lang w:val="mn-MN"/>
        </w:rPr>
        <w:t xml:space="preserve">заавал </w:t>
      </w:r>
      <w:r w:rsidRPr="00B631B9">
        <w:rPr>
          <w:rFonts w:ascii="Times New Roman" w:hAnsi="Times New Roman" w:cs="Times New Roman"/>
          <w:sz w:val="24"/>
          <w:szCs w:val="24"/>
          <w:lang w:val="mn-MN"/>
        </w:rPr>
        <w:t>хавсарган</w:t>
      </w:r>
      <w:r>
        <w:rPr>
          <w:rFonts w:ascii="Times New Roman" w:hAnsi="Times New Roman" w:cs="Times New Roman"/>
          <w:sz w:val="24"/>
          <w:szCs w:val="24"/>
          <w:lang w:val="mn-MN"/>
        </w:rPr>
        <w:t>а</w:t>
      </w:r>
      <w:r w:rsidRPr="00B631B9">
        <w:rPr>
          <w:rFonts w:ascii="Times New Roman" w:hAnsi="Times New Roman" w:cs="Times New Roman"/>
          <w:sz w:val="24"/>
          <w:szCs w:val="24"/>
          <w:lang w:val="mn-MN"/>
        </w:rPr>
        <w:t>.</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lang w:val="mn-MN"/>
        </w:rPr>
      </w:pPr>
    </w:p>
    <w:p w:rsidR="00002A89" w:rsidRPr="00B631B9" w:rsidRDefault="00002A89" w:rsidP="00002A89">
      <w:pPr>
        <w:pStyle w:val="ListParagraph"/>
        <w:spacing w:after="0" w:line="240" w:lineRule="auto"/>
        <w:ind w:left="792"/>
        <w:jc w:val="center"/>
        <w:rPr>
          <w:rFonts w:ascii="Times New Roman" w:hAnsi="Times New Roman" w:cs="Times New Roman"/>
          <w:b/>
          <w:sz w:val="24"/>
          <w:szCs w:val="24"/>
          <w:lang w:val="mn-MN"/>
        </w:rPr>
      </w:pPr>
      <w:r w:rsidRPr="00B631B9">
        <w:rPr>
          <w:rFonts w:ascii="Times New Roman" w:hAnsi="Times New Roman" w:cs="Times New Roman"/>
          <w:b/>
          <w:sz w:val="24"/>
          <w:szCs w:val="24"/>
          <w:lang w:val="mn-MN"/>
        </w:rPr>
        <w:t>Дөрөв. Бусад</w:t>
      </w: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0"/>
          <w:numId w:val="3"/>
        </w:numPr>
        <w:spacing w:after="0" w:line="240" w:lineRule="auto"/>
        <w:jc w:val="both"/>
        <w:rPr>
          <w:rFonts w:ascii="Times New Roman" w:hAnsi="Times New Roman" w:cs="Times New Roman"/>
          <w:vanish/>
          <w:sz w:val="24"/>
          <w:szCs w:val="24"/>
        </w:rPr>
      </w:pPr>
    </w:p>
    <w:p w:rsidR="00002A89" w:rsidRPr="00B631B9" w:rsidRDefault="00002A89" w:rsidP="00002A89">
      <w:pPr>
        <w:pStyle w:val="ListParagraph"/>
        <w:spacing w:after="0" w:line="240" w:lineRule="auto"/>
        <w:ind w:left="792"/>
        <w:jc w:val="both"/>
        <w:rPr>
          <w:rFonts w:ascii="Times New Roman" w:hAnsi="Times New Roman" w:cs="Times New Roman"/>
          <w:sz w:val="24"/>
          <w:szCs w:val="24"/>
        </w:rPr>
      </w:pPr>
    </w:p>
    <w:p w:rsidR="00002A89" w:rsidRPr="00B631B9" w:rsidRDefault="00002A89" w:rsidP="00002A89">
      <w:pPr>
        <w:pStyle w:val="ListParagraph"/>
        <w:numPr>
          <w:ilvl w:val="1"/>
          <w:numId w:val="3"/>
        </w:numPr>
        <w:spacing w:after="0" w:line="240" w:lineRule="auto"/>
        <w:jc w:val="both"/>
        <w:rPr>
          <w:rFonts w:ascii="Times New Roman" w:hAnsi="Times New Roman" w:cs="Times New Roman"/>
          <w:sz w:val="24"/>
          <w:szCs w:val="24"/>
        </w:rPr>
      </w:pPr>
      <w:r w:rsidRPr="00B631B9">
        <w:rPr>
          <w:rFonts w:ascii="Times New Roman" w:hAnsi="Times New Roman" w:cs="Times New Roman"/>
          <w:sz w:val="24"/>
          <w:szCs w:val="24"/>
          <w:lang w:val="mn-MN"/>
        </w:rPr>
        <w:t>Энэ журмыг зөрчсөн этгээдэд Үнэт цаасны зах зээлийн тухай хуул</w:t>
      </w:r>
      <w:r>
        <w:rPr>
          <w:rFonts w:ascii="Times New Roman" w:hAnsi="Times New Roman" w:cs="Times New Roman"/>
          <w:sz w:val="24"/>
          <w:szCs w:val="24"/>
          <w:lang w:val="mn-MN"/>
        </w:rPr>
        <w:t>ь болон холбогдох бусад хууль тогтоомжид заасны дагуу хариуцлага хүлээлгэнэ.</w:t>
      </w:r>
    </w:p>
    <w:p w:rsidR="000241F7" w:rsidRPr="00002A89" w:rsidRDefault="000241F7" w:rsidP="00002A89">
      <w:pPr>
        <w:rPr>
          <w:szCs w:val="24"/>
        </w:rPr>
      </w:pPr>
    </w:p>
    <w:sectPr w:rsidR="000241F7" w:rsidRPr="00002A89" w:rsidSect="001D7486">
      <w:pgSz w:w="12240" w:h="15840"/>
      <w:pgMar w:top="1134"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Che">
    <w:panose1 w:val="00000000000000000000"/>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8BC8E74"/>
    <w:lvl w:ilvl="0" w:tplc="66462A88">
      <w:start w:val="1"/>
      <w:numFmt w:val="decimal"/>
      <w:lvlText w:val="%1."/>
      <w:lvlJc w:val="left"/>
      <w:rPr>
        <w:rFonts w:cs="Times New Roman"/>
        <w:sz w:val="24"/>
        <w:szCs w:val="24"/>
      </w:rPr>
    </w:lvl>
    <w:lvl w:ilvl="1" w:tplc="2918C2D0">
      <w:numFmt w:val="none"/>
      <w:lvlText w:val=""/>
      <w:lvlJc w:val="left"/>
      <w:pPr>
        <w:tabs>
          <w:tab w:val="num" w:pos="360"/>
        </w:tabs>
      </w:pPr>
      <w:rPr>
        <w:rFonts w:cs="Times New Roman"/>
      </w:rPr>
    </w:lvl>
    <w:lvl w:ilvl="2" w:tplc="237EE6CE">
      <w:numFmt w:val="none"/>
      <w:lvlText w:val=""/>
      <w:lvlJc w:val="left"/>
      <w:pPr>
        <w:tabs>
          <w:tab w:val="num" w:pos="360"/>
        </w:tabs>
      </w:pPr>
      <w:rPr>
        <w:rFonts w:cs="Times New Roman"/>
      </w:rPr>
    </w:lvl>
    <w:lvl w:ilvl="3" w:tplc="0E3A34D6">
      <w:numFmt w:val="none"/>
      <w:lvlText w:val=""/>
      <w:lvlJc w:val="left"/>
      <w:pPr>
        <w:tabs>
          <w:tab w:val="num" w:pos="360"/>
        </w:tabs>
      </w:pPr>
      <w:rPr>
        <w:rFonts w:cs="Times New Roman"/>
      </w:rPr>
    </w:lvl>
    <w:lvl w:ilvl="4" w:tplc="83722984">
      <w:numFmt w:val="none"/>
      <w:lvlText w:val=""/>
      <w:lvlJc w:val="left"/>
      <w:pPr>
        <w:tabs>
          <w:tab w:val="num" w:pos="360"/>
        </w:tabs>
      </w:pPr>
      <w:rPr>
        <w:rFonts w:cs="Times New Roman"/>
      </w:rPr>
    </w:lvl>
    <w:lvl w:ilvl="5" w:tplc="34004F88">
      <w:numFmt w:val="none"/>
      <w:lvlText w:val=""/>
      <w:lvlJc w:val="left"/>
      <w:pPr>
        <w:tabs>
          <w:tab w:val="num" w:pos="360"/>
        </w:tabs>
      </w:pPr>
      <w:rPr>
        <w:rFonts w:cs="Times New Roman"/>
      </w:rPr>
    </w:lvl>
    <w:lvl w:ilvl="6" w:tplc="83EC638C">
      <w:numFmt w:val="none"/>
      <w:lvlText w:val=""/>
      <w:lvlJc w:val="left"/>
      <w:pPr>
        <w:tabs>
          <w:tab w:val="num" w:pos="360"/>
        </w:tabs>
      </w:pPr>
      <w:rPr>
        <w:rFonts w:cs="Times New Roman"/>
      </w:rPr>
    </w:lvl>
    <w:lvl w:ilvl="7" w:tplc="7E12F5A8">
      <w:numFmt w:val="none"/>
      <w:lvlText w:val=""/>
      <w:lvlJc w:val="left"/>
      <w:pPr>
        <w:tabs>
          <w:tab w:val="num" w:pos="360"/>
        </w:tabs>
      </w:pPr>
      <w:rPr>
        <w:rFonts w:cs="Times New Roman"/>
      </w:rPr>
    </w:lvl>
    <w:lvl w:ilvl="8" w:tplc="AE884B74">
      <w:numFmt w:val="none"/>
      <w:lvlText w:val=""/>
      <w:lvlJc w:val="left"/>
      <w:pPr>
        <w:tabs>
          <w:tab w:val="num" w:pos="360"/>
        </w:tabs>
      </w:pPr>
      <w:rPr>
        <w:rFonts w:cs="Times New Roman"/>
      </w:rPr>
    </w:lvl>
  </w:abstractNum>
  <w:abstractNum w:abstractNumId="1">
    <w:nsid w:val="26216BED"/>
    <w:multiLevelType w:val="hybridMultilevel"/>
    <w:tmpl w:val="60A2B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0231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useFELayout/>
  </w:compat>
  <w:rsids>
    <w:rsidRoot w:val="001D7486"/>
    <w:rsid w:val="00002A89"/>
    <w:rsid w:val="000241F7"/>
    <w:rsid w:val="00046B5A"/>
    <w:rsid w:val="00160DD2"/>
    <w:rsid w:val="001D7486"/>
    <w:rsid w:val="0031422B"/>
    <w:rsid w:val="003506F7"/>
    <w:rsid w:val="003A5E3B"/>
    <w:rsid w:val="004B1D53"/>
    <w:rsid w:val="00666126"/>
    <w:rsid w:val="006B6B52"/>
    <w:rsid w:val="006D42F7"/>
    <w:rsid w:val="00753FDE"/>
    <w:rsid w:val="007802A1"/>
    <w:rsid w:val="007F1A46"/>
    <w:rsid w:val="008630F8"/>
    <w:rsid w:val="008A15C2"/>
    <w:rsid w:val="008D4FDE"/>
    <w:rsid w:val="00927C24"/>
    <w:rsid w:val="00965C5B"/>
    <w:rsid w:val="00972065"/>
    <w:rsid w:val="00A01047"/>
    <w:rsid w:val="00A350F8"/>
    <w:rsid w:val="00A824CE"/>
    <w:rsid w:val="00AA450E"/>
    <w:rsid w:val="00AA4C0D"/>
    <w:rsid w:val="00AC567C"/>
    <w:rsid w:val="00B57337"/>
    <w:rsid w:val="00B631B9"/>
    <w:rsid w:val="00B64495"/>
    <w:rsid w:val="00BA7A6F"/>
    <w:rsid w:val="00BF4A83"/>
    <w:rsid w:val="00C0529A"/>
    <w:rsid w:val="00C15365"/>
    <w:rsid w:val="00C55602"/>
    <w:rsid w:val="00D25616"/>
    <w:rsid w:val="00D80FAB"/>
    <w:rsid w:val="00DC14BF"/>
    <w:rsid w:val="00DC4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
    <w:basedOn w:val="DefaultParagraphFont"/>
    <w:link w:val="Bodytext31"/>
    <w:uiPriority w:val="99"/>
    <w:locked/>
    <w:rsid w:val="001D7486"/>
    <w:rPr>
      <w:rFonts w:ascii="Times New Roman" w:hAnsi="Times New Roman"/>
      <w:b/>
      <w:bCs/>
      <w:shd w:val="clear" w:color="auto" w:fill="FFFFFF"/>
    </w:rPr>
  </w:style>
  <w:style w:type="character" w:customStyle="1" w:styleId="Bodytext5">
    <w:name w:val="Body text (5)"/>
    <w:basedOn w:val="DefaultParagraphFont"/>
    <w:link w:val="Bodytext51"/>
    <w:uiPriority w:val="99"/>
    <w:locked/>
    <w:rsid w:val="001D7486"/>
    <w:rPr>
      <w:rFonts w:ascii="Times New Roman" w:hAnsi="Times New Roman"/>
      <w:shd w:val="clear" w:color="auto" w:fill="FFFFFF"/>
    </w:rPr>
  </w:style>
  <w:style w:type="character" w:customStyle="1" w:styleId="Bodytext">
    <w:name w:val="Body text"/>
    <w:basedOn w:val="DefaultParagraphFont"/>
    <w:link w:val="Bodytext1"/>
    <w:uiPriority w:val="99"/>
    <w:locked/>
    <w:rsid w:val="001D7486"/>
    <w:rPr>
      <w:rFonts w:ascii="Times New Roman" w:hAnsi="Times New Roman"/>
      <w:shd w:val="clear" w:color="auto" w:fill="FFFFFF"/>
    </w:rPr>
  </w:style>
  <w:style w:type="character" w:customStyle="1" w:styleId="Bodytext7">
    <w:name w:val="Body text (7)"/>
    <w:basedOn w:val="DefaultParagraphFont"/>
    <w:link w:val="Bodytext71"/>
    <w:uiPriority w:val="99"/>
    <w:locked/>
    <w:rsid w:val="001D7486"/>
    <w:rPr>
      <w:rFonts w:ascii="Times New Roman" w:hAnsi="Times New Roman"/>
      <w:shd w:val="clear" w:color="auto" w:fill="FFFFFF"/>
    </w:rPr>
  </w:style>
  <w:style w:type="paragraph" w:customStyle="1" w:styleId="Bodytext31">
    <w:name w:val="Body text (3)1"/>
    <w:basedOn w:val="Normal"/>
    <w:link w:val="Bodytext3"/>
    <w:uiPriority w:val="99"/>
    <w:rsid w:val="001D7486"/>
    <w:pPr>
      <w:shd w:val="clear" w:color="auto" w:fill="FFFFFF"/>
      <w:spacing w:after="0" w:line="274" w:lineRule="exact"/>
      <w:jc w:val="center"/>
    </w:pPr>
    <w:rPr>
      <w:rFonts w:ascii="Times New Roman" w:hAnsi="Times New Roman"/>
      <w:b/>
      <w:bCs/>
    </w:rPr>
  </w:style>
  <w:style w:type="paragraph" w:customStyle="1" w:styleId="Bodytext51">
    <w:name w:val="Body text (5)1"/>
    <w:basedOn w:val="Normal"/>
    <w:link w:val="Bodytext5"/>
    <w:uiPriority w:val="99"/>
    <w:rsid w:val="001D7486"/>
    <w:pPr>
      <w:shd w:val="clear" w:color="auto" w:fill="FFFFFF"/>
      <w:spacing w:before="300" w:after="240" w:line="269" w:lineRule="exact"/>
      <w:jc w:val="both"/>
    </w:pPr>
    <w:rPr>
      <w:rFonts w:ascii="Times New Roman" w:hAnsi="Times New Roman"/>
    </w:rPr>
  </w:style>
  <w:style w:type="paragraph" w:customStyle="1" w:styleId="Bodytext1">
    <w:name w:val="Body text1"/>
    <w:basedOn w:val="Normal"/>
    <w:link w:val="Bodytext"/>
    <w:uiPriority w:val="99"/>
    <w:rsid w:val="001D7486"/>
    <w:pPr>
      <w:shd w:val="clear" w:color="auto" w:fill="FFFFFF"/>
      <w:spacing w:before="240" w:after="240" w:line="269" w:lineRule="exact"/>
      <w:ind w:firstLine="700"/>
      <w:jc w:val="both"/>
    </w:pPr>
    <w:rPr>
      <w:rFonts w:ascii="Times New Roman" w:hAnsi="Times New Roman"/>
    </w:rPr>
  </w:style>
  <w:style w:type="paragraph" w:customStyle="1" w:styleId="Bodytext71">
    <w:name w:val="Body text (7)1"/>
    <w:basedOn w:val="Normal"/>
    <w:link w:val="Bodytext7"/>
    <w:uiPriority w:val="99"/>
    <w:rsid w:val="001D7486"/>
    <w:pPr>
      <w:shd w:val="clear" w:color="auto" w:fill="FFFFFF"/>
      <w:spacing w:after="480" w:line="269" w:lineRule="exact"/>
      <w:jc w:val="right"/>
    </w:pPr>
    <w:rPr>
      <w:rFonts w:ascii="Times New Roman" w:hAnsi="Times New Roman"/>
    </w:rPr>
  </w:style>
  <w:style w:type="paragraph" w:styleId="BalloonText">
    <w:name w:val="Balloon Text"/>
    <w:basedOn w:val="Normal"/>
    <w:link w:val="BalloonTextChar"/>
    <w:uiPriority w:val="99"/>
    <w:semiHidden/>
    <w:unhideWhenUsed/>
    <w:rsid w:val="001D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486"/>
    <w:rPr>
      <w:rFonts w:ascii="Tahoma" w:hAnsi="Tahoma" w:cs="Tahoma"/>
      <w:sz w:val="16"/>
      <w:szCs w:val="16"/>
    </w:rPr>
  </w:style>
  <w:style w:type="paragraph" w:styleId="ListParagraph">
    <w:name w:val="List Paragraph"/>
    <w:basedOn w:val="Normal"/>
    <w:uiPriority w:val="34"/>
    <w:qFormat/>
    <w:rsid w:val="00C556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FRC</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Munkhtselmeg N</dc:creator>
  <cp:keywords/>
  <dc:description/>
  <cp:lastModifiedBy>mungunbagana</cp:lastModifiedBy>
  <cp:revision>24</cp:revision>
  <cp:lastPrinted>2010-05-25T11:33:00Z</cp:lastPrinted>
  <dcterms:created xsi:type="dcterms:W3CDTF">2010-05-25T03:45:00Z</dcterms:created>
  <dcterms:modified xsi:type="dcterms:W3CDTF">2010-06-04T01:44:00Z</dcterms:modified>
</cp:coreProperties>
</file>