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F6" w:rsidRPr="00AA54B6" w:rsidRDefault="003929F6" w:rsidP="003929F6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AA54B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"УЛААНБААТАР ХОТЫН ДААТГАЛ" ХХК</w:t>
      </w:r>
    </w:p>
    <w:p w:rsidR="003929F6" w:rsidRPr="00AA54B6" w:rsidRDefault="003929F6" w:rsidP="003929F6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mn-MN"/>
        </w:rPr>
      </w:pP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Даатгалын зүйлийг согтуугаар жолоодох болон гэмт хэргийн зорилгоор ашиглаж явах үед учирсан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Бусдын автотээврийн хэрэгсэлд учруулсан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 xml:space="preserve">Даатгалын баталгаа буюу гэрээнд нэр нь ороогүй жолооч жолоодож явсан үед учирсан аливаа хохирол; 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Дугуй болон дугуйнаас үүдэн учирсанхохирол;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  <w:t>Н</w:t>
      </w: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эмэлт тоноглолд учирсан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Даатгалтай автотээврийн хэрэгсэл дотор байсан эд зүйлс болон тээвэрлэж явсан ачаанд учирсан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Ан ав хөөх болон уралдааны зориулалтаар ашиглаж явсанаас үүдсэн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Механик эвдрэл болон мотор цохисон нөхцөлд;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Жолоодох эрхийн үнэмлэхгүй, жолоодох эрх нь хасагдан хүн жолоодсоноос үүдсэн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Хүн тээвэрлэх зориулалтын бус автотээврийн хэрэгслээр хүн тээвэрлэсний улмаас үүссэн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Автотээврийн хэрэгсэлийн эд ангийн зориулалт, ашиглалтын горимыг өөрчилснөөс үүдэн гарсан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Техникийн бүрэн байдлыг хангаж яваагүйн улмаас үүдэн гарсан хохирол (MУ-ын замын хөдөлгөөнийн дүрмийн 2.3а-г зөрчсөн бол);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>Х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өдөлгөөнд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оролцохын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өмнө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буюу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замд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явахдаа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энэ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дүрмийн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r w:rsidRPr="00AA54B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дугаар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хавсралтад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заасан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зөрчилгүй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байхаар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тээврийн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хэрэгслийнхээ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бүрэн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бүтэн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байдлыг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хангах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Тээврийн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хэрэгслийн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ажлын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тоормосны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систем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жолооны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механизм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ажиллахгүй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болсон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чиргүүлийн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холбоос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эвдэрсэн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харанхуй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буюу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үзэгдэлт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хангалтгүй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үед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зөв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талын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хол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ойрын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болон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ар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талын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оврын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гэрлүүд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асахгүйболсон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цас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бороо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орж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байгаа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үед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жолоочийн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талын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шил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арчуур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ажиллахгүй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бол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хөдөлгөөнөө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sz w:val="20"/>
          <w:szCs w:val="20"/>
        </w:rPr>
        <w:t>үргэлжлүүлэхийг</w:t>
      </w:r>
      <w:proofErr w:type="spellEnd"/>
      <w:r w:rsidRPr="00AA54B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хориглоно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>Х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өдөлгөөнд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оролцож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явах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үед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тээврийн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хэрэгсэлд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дээр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дурдсанаас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бусад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гэмтэл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энэ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дүрмийн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дугаар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хавсралтад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заасан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тохиолдвол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түүнийг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засах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хэрэв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бололцоогүй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аюулгүй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байдлыг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хангаж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аль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ойр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байгаа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зогсоол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гарааш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буюу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засварын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газарт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очно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Хамгаалах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бүсээр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тоноглогдсон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автомашин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жолоодохдоо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хамгаалах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бүс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хэрэглэх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хамгаалах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бүс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хэрэглээгүй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зорчигч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тээвэрлэхгүй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Тайлбар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Энэ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заалт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нь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жолоодлогын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дадлага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хийлгэж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яваа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багш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үүргээ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гүйцэтгэж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яваа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шуурхай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албаны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автомашины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жолооч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зорчигчид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хамаарахгүй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Мотоцикль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жолоодохдоо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хамгаалах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малгай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өмсөх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хамгаалах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малгай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өмсөөгүй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зорчигч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тээвэрлэхгүй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Согтууруулах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ундаа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мансууруулах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бодис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сэтгэцэд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нөлөөлөх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эм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бэлдмэл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хэрэглэсэн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эсэхийг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цагдаагийн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ажилтны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шаардлагаар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зохих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журмын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дагуу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шалгуулах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Зам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тээврийн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осолд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нэрвэгдсэн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хүнд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эмнэлгийн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анхны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тусламж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үзүүлэх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түүнийг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эмнэлэгт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яаралтай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хүргэх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Зам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тээврийн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осол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буюу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техникийн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саатлаар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замд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зогссон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жолоочийн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дохиог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оорзогсож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бололцоотой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тусламж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үзүүлэх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Замын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хөдөлгөөнд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аюул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учруулж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болзошгүй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элдэв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саад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гарсан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тохиолдолд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түүнийг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арилгах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хэрэв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бололцоогүй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буюу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зам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тээврийн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осол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гарсан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энэ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тухай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хөдөлгөөнд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оролцогчдод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урьдчилан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анхааруулж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аль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ойр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байгаа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цагдаагийн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байгууллагад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яаралтай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мэдэгдэх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ListParagraph"/>
        <w:numPr>
          <w:ilvl w:val="1"/>
          <w:numId w:val="3"/>
        </w:numPr>
        <w:shd w:val="clear" w:color="auto" w:fill="FFFFFF"/>
        <w:tabs>
          <w:tab w:val="num" w:pos="709"/>
          <w:tab w:val="left" w:pos="1134"/>
          <w:tab w:val="num" w:pos="2430"/>
        </w:tabs>
        <w:spacing w:after="0"/>
        <w:ind w:left="709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Гэмт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үйлдвэрлэлийн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осол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түймэр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гарсан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байгалийн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гамшиг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гэнэтийн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бусад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аюул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тохиолдсон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нийтийн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эмх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замбараагүй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байдал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үүссэн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газарт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хүрэлцэн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очих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гэмт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этгээдийг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мөрдөн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хөөх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амь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нас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эрүүл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мэндэд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нь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ноцтой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хохирол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учирч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болох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гэмтэлтэй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хүмүүсийг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эмнэлэгт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гэмт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этгээдийг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цагдаагийн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байгууллагад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хүргэхэд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тээврийн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</w:rPr>
        <w:t>хэрэгслээрээ</w:t>
      </w:r>
      <w:proofErr w:type="spellEnd"/>
      <w:r w:rsidRPr="00AA54B6"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үйлчлэх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mn-MN"/>
        </w:rPr>
        <w:t>.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Даатгагч болон ЗЦГ-т  ослын талаар мэдэгдэлгүйгээр, тэдний зөвшөөрөлгүйгээр ослын газраас хөдөлсөн бол (MУ-ын замын хөдөлгөөнийн дүрмийн 2.5а, г-г зөрчсөн бол);</w:t>
      </w:r>
    </w:p>
    <w:p w:rsidR="003929F6" w:rsidRPr="00AA54B6" w:rsidRDefault="003929F6" w:rsidP="003929F6">
      <w:pPr>
        <w:pStyle w:val="BodyTextIndent3"/>
        <w:numPr>
          <w:ilvl w:val="1"/>
          <w:numId w:val="4"/>
        </w:numPr>
        <w:tabs>
          <w:tab w:val="num" w:pos="0"/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lastRenderedPageBreak/>
        <w:t>Т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ээврийн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хэрэгслээ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нэн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даруй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зогсоож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ослын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дохионы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гэрлээ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асаах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ослын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зогсолтын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тэмдгийг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замын хөдөлгөөний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дүрмийн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6.3-т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заасан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шаардлагын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дагуу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тавьж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тээврийн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хэрэгсэл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болон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осолд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холбогдол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бүхий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эд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юмсыг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байрнаас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нь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хөдөлгөхгүй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байх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num" w:pos="0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A54B6">
        <w:rPr>
          <w:rFonts w:ascii="Times New Roman" w:hAnsi="Times New Roman" w:cs="Times New Roman"/>
          <w:noProof/>
          <w:sz w:val="20"/>
          <w:szCs w:val="20"/>
        </w:rPr>
        <w:t>Даатгалын зүйлийн ердийн элэгдэл, бараа материалын хэвийн хорогдол, ууршилт зэрэг тухайн эд хөрөнгө бараа материалын шинж чанараас шалтгаалан гарсан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A54B6">
        <w:rPr>
          <w:rFonts w:ascii="Times New Roman" w:hAnsi="Times New Roman" w:cs="Times New Roman"/>
          <w:sz w:val="20"/>
          <w:szCs w:val="20"/>
        </w:rPr>
        <w:t>Тээвэрлэлтийнүедгарсанхохирол</w:t>
      </w:r>
      <w:proofErr w:type="spellEnd"/>
      <w:r w:rsidRPr="00AA54B6">
        <w:rPr>
          <w:rFonts w:ascii="Times New Roman" w:hAnsi="Times New Roman" w:cs="Times New Roman"/>
          <w:sz w:val="20"/>
          <w:szCs w:val="20"/>
        </w:rPr>
        <w:t>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A54B6">
        <w:rPr>
          <w:rFonts w:ascii="Times New Roman" w:hAnsi="Times New Roman" w:cs="Times New Roman"/>
          <w:sz w:val="20"/>
          <w:szCs w:val="20"/>
          <w:lang w:val="mn-MN"/>
        </w:rPr>
        <w:t>А</w:t>
      </w:r>
      <w:r w:rsidRPr="00AA54B6">
        <w:rPr>
          <w:rFonts w:ascii="Times New Roman" w:hAnsi="Times New Roman" w:cs="Times New Roman"/>
          <w:sz w:val="20"/>
          <w:szCs w:val="20"/>
        </w:rPr>
        <w:t>чааллыгхэтрүүлэхболонхэвийнбусбайдлыгбуйболгосоналиваатохиолдлоосүүссэнхохирол;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A54B6">
        <w:rPr>
          <w:rFonts w:ascii="Times New Roman" w:hAnsi="Times New Roman" w:cs="Times New Roman"/>
          <w:sz w:val="20"/>
          <w:szCs w:val="20"/>
        </w:rPr>
        <w:t>Ашиглалтынхугацаазаасанэдангиудболонтуслах</w:t>
      </w:r>
      <w:proofErr w:type="spellEnd"/>
      <w:r w:rsidRPr="00AA54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54B6">
        <w:rPr>
          <w:rFonts w:ascii="Times New Roman" w:hAnsi="Times New Roman" w:cs="Times New Roman"/>
          <w:sz w:val="20"/>
          <w:szCs w:val="20"/>
        </w:rPr>
        <w:t>дагалдахматериалуудынхохирол</w:t>
      </w:r>
      <w:proofErr w:type="spellEnd"/>
      <w:r w:rsidRPr="00AA54B6">
        <w:rPr>
          <w:rFonts w:ascii="Times New Roman" w:hAnsi="Times New Roman" w:cs="Times New Roman"/>
          <w:sz w:val="20"/>
          <w:szCs w:val="20"/>
        </w:rPr>
        <w:t>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A54B6">
        <w:rPr>
          <w:rFonts w:ascii="Times New Roman" w:hAnsi="Times New Roman" w:cs="Times New Roman"/>
          <w:sz w:val="20"/>
          <w:szCs w:val="20"/>
        </w:rPr>
        <w:t>Үйлдвэрлэлийнболонбуруусууриллуулсан,угсарсан,задалсанаасүүдэнгарсанболонтэдгээрийгзасварласаналиваазардал;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Даатгалын зүйлийг бусдын барьцаанд тавих, бусдад түрээслэх, зээлдүүлэхдээсээ өмнө даатгагчид мэдэгдээгүй үед гарсан хохирол;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  <w:t>Зорчигчийн хамгаалалтын бүс хэрэглээгүйн улмаас автотээврийн хэрэгсэлд учруулсан хохирол</w:t>
      </w:r>
      <w:r w:rsidRPr="00AA54B6"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  <w:t>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proofErr w:type="spellStart"/>
      <w:r w:rsidRPr="00AA54B6">
        <w:rPr>
          <w:rFonts w:ascii="Times New Roman" w:hAnsi="Times New Roman" w:cs="Times New Roman"/>
          <w:sz w:val="20"/>
          <w:szCs w:val="20"/>
        </w:rPr>
        <w:t>Зориулалтынбусаргаармоторхалаахоролдлогохийсэнээсучирсанхохирол</w:t>
      </w:r>
      <w:proofErr w:type="spellEnd"/>
      <w:r w:rsidRPr="00AA54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54B6">
        <w:rPr>
          <w:rFonts w:ascii="Times New Roman" w:hAnsi="Times New Roman" w:cs="Times New Roman"/>
          <w:sz w:val="20"/>
          <w:szCs w:val="20"/>
        </w:rPr>
        <w:t>түүнийүрдагавар</w:t>
      </w:r>
      <w:proofErr w:type="spellEnd"/>
      <w:r w:rsidRPr="00AA54B6">
        <w:rPr>
          <w:rFonts w:ascii="Times New Roman" w:hAnsi="Times New Roman" w:cs="Times New Roman"/>
          <w:sz w:val="20"/>
          <w:szCs w:val="20"/>
        </w:rPr>
        <w:t>;</w:t>
      </w:r>
    </w:p>
    <w:p w:rsidR="003929F6" w:rsidRPr="00AA54B6" w:rsidRDefault="003929F6" w:rsidP="003929F6">
      <w:pPr>
        <w:pStyle w:val="BodyTextIndent3"/>
        <w:numPr>
          <w:ilvl w:val="2"/>
          <w:numId w:val="2"/>
        </w:numPr>
        <w:tabs>
          <w:tab w:val="clear" w:pos="1440"/>
          <w:tab w:val="num" w:pos="0"/>
          <w:tab w:val="left" w:pos="709"/>
        </w:tabs>
        <w:spacing w:after="0"/>
        <w:ind w:left="0" w:firstLine="426"/>
        <w:jc w:val="both"/>
        <w:rPr>
          <w:rFonts w:ascii="Times New Roman" w:eastAsia="MS Mincho" w:hAnsi="Times New Roman" w:cs="Times New Roman"/>
          <w:noProof/>
          <w:sz w:val="20"/>
          <w:szCs w:val="20"/>
          <w:lang w:val="mn-MN" w:eastAsia="ja-JP"/>
        </w:rPr>
      </w:pPr>
      <w:r w:rsidRPr="00AA54B6">
        <w:rPr>
          <w:rFonts w:ascii="Times New Roman" w:hAnsi="Times New Roman" w:cs="Times New Roman"/>
          <w:sz w:val="20"/>
          <w:szCs w:val="20"/>
          <w:lang w:val="mn-MN"/>
        </w:rPr>
        <w:t>Даатгалын тухай хуулийн 8.5 дээрх заалтууд</w:t>
      </w:r>
    </w:p>
    <w:p w:rsidR="003929F6" w:rsidRPr="00AA54B6" w:rsidRDefault="003929F6" w:rsidP="003929F6">
      <w:pPr>
        <w:pStyle w:val="BodyTextIndent3"/>
        <w:numPr>
          <w:ilvl w:val="1"/>
          <w:numId w:val="5"/>
        </w:numPr>
        <w:tabs>
          <w:tab w:val="num" w:pos="709"/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>Д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аатгуулагч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санаатайгаар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хохирол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учруулсан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буюу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даатгалын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тохиолдол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бий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болох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нөхцөл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орчныг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бүрдүүлсэн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BodyTextIndent3"/>
        <w:numPr>
          <w:ilvl w:val="1"/>
          <w:numId w:val="5"/>
        </w:numPr>
        <w:tabs>
          <w:tab w:val="num" w:pos="709"/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>Д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аатгуулагч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даатгалын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зүйлийн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талаар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даатгагчид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худал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мэдээлсэн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хуурамч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бичиг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баримт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бүрдүүлсэн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нь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тогтоогдсон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BodyTextIndent3"/>
        <w:numPr>
          <w:ilvl w:val="1"/>
          <w:numId w:val="5"/>
        </w:numPr>
        <w:tabs>
          <w:tab w:val="num" w:pos="709"/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>Д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аатгалын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гэрээнд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зааснаас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бусад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шалтгаанаар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хохирол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гарсан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BodyTextIndent3"/>
        <w:numPr>
          <w:ilvl w:val="1"/>
          <w:numId w:val="5"/>
        </w:numPr>
        <w:tabs>
          <w:tab w:val="num" w:pos="709"/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>Г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арсан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хохирлыг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даатгуулагч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буруутай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этгээдээр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нөхөн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төлүүлсэн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929F6" w:rsidRPr="00AA54B6" w:rsidRDefault="003929F6" w:rsidP="003929F6">
      <w:pPr>
        <w:pStyle w:val="BodyTextIndent3"/>
        <w:numPr>
          <w:ilvl w:val="1"/>
          <w:numId w:val="5"/>
        </w:numPr>
        <w:tabs>
          <w:tab w:val="num" w:pos="709"/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>Х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ууль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тогтоомжид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заасан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бусад</w:t>
      </w:r>
      <w:proofErr w:type="spellEnd"/>
      <w:r w:rsidRPr="00AA54B6">
        <w:rPr>
          <w:rFonts w:ascii="Times New Roman" w:hAnsi="Times New Roman" w:cs="Times New Roman"/>
          <w:color w:val="000000"/>
          <w:sz w:val="20"/>
          <w:szCs w:val="20"/>
          <w:lang w:val="mn-MN"/>
        </w:rPr>
        <w:t xml:space="preserve"> </w:t>
      </w:r>
      <w:proofErr w:type="spellStart"/>
      <w:r w:rsidRPr="00AA54B6">
        <w:rPr>
          <w:rFonts w:ascii="Times New Roman" w:hAnsi="Times New Roman" w:cs="Times New Roman"/>
          <w:color w:val="000000"/>
          <w:sz w:val="20"/>
          <w:szCs w:val="20"/>
        </w:rPr>
        <w:t>үндэслэл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mn-MN"/>
        </w:rPr>
        <w:t>.</w:t>
      </w:r>
    </w:p>
    <w:p w:rsidR="00E13D65" w:rsidRDefault="00E13D65"/>
    <w:sectPr w:rsidR="00E13D65" w:rsidSect="00E13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9D8"/>
    <w:multiLevelType w:val="multilevel"/>
    <w:tmpl w:val="57C0EC8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14041DA1"/>
    <w:multiLevelType w:val="hybridMultilevel"/>
    <w:tmpl w:val="B94872AA"/>
    <w:lvl w:ilvl="0" w:tplc="BF14E9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CE2DEB"/>
    <w:multiLevelType w:val="multilevel"/>
    <w:tmpl w:val="A1E2E580"/>
    <w:lvl w:ilvl="0">
      <w:start w:val="13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Theme="minorEastAsia" w:hint="default"/>
        <w:color w:val="000000"/>
      </w:rPr>
    </w:lvl>
  </w:abstractNum>
  <w:abstractNum w:abstractNumId="3">
    <w:nsid w:val="663414E2"/>
    <w:multiLevelType w:val="multilevel"/>
    <w:tmpl w:val="8E14294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>
    <w:nsid w:val="762E050B"/>
    <w:multiLevelType w:val="multilevel"/>
    <w:tmpl w:val="F19A52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29F6"/>
    <w:rsid w:val="003929F6"/>
    <w:rsid w:val="00403FB8"/>
    <w:rsid w:val="0092796F"/>
    <w:rsid w:val="00E1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9F6"/>
    <w:pPr>
      <w:ind w:left="720"/>
      <w:contextualSpacing/>
    </w:pPr>
    <w:rPr>
      <w:rFonts w:eastAsiaTheme="minorEastAsi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29F6"/>
    <w:pPr>
      <w:spacing w:after="120"/>
      <w:ind w:left="283"/>
    </w:pPr>
    <w:rPr>
      <w:rFonts w:eastAsiaTheme="minorEastAsi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29F6"/>
    <w:rPr>
      <w:rFonts w:eastAsiaTheme="minorEastAsi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Company>Grizli777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Battsetseg</dc:creator>
  <cp:lastModifiedBy>Enkhtuul</cp:lastModifiedBy>
  <cp:revision>2</cp:revision>
  <dcterms:created xsi:type="dcterms:W3CDTF">2015-04-02T01:29:00Z</dcterms:created>
  <dcterms:modified xsi:type="dcterms:W3CDTF">2015-04-02T01:29:00Z</dcterms:modified>
</cp:coreProperties>
</file>