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F4A8" w14:textId="77777777" w:rsidR="00FA59EB" w:rsidRPr="00684B44" w:rsidRDefault="00FA59EB" w:rsidP="00FA59EB">
      <w:pPr>
        <w:spacing w:after="0" w:line="240" w:lineRule="auto"/>
        <w:jc w:val="right"/>
        <w:rPr>
          <w:rFonts w:ascii="Times New Roman" w:hAnsi="Times New Roman" w:cs="Times New Roman"/>
          <w:sz w:val="22"/>
          <w:szCs w:val="22"/>
          <w:lang w:val="mn-MN"/>
        </w:rPr>
      </w:pPr>
      <w:r w:rsidRPr="00684B44">
        <w:rPr>
          <w:rFonts w:ascii="Times New Roman" w:hAnsi="Times New Roman" w:cs="Times New Roman"/>
          <w:sz w:val="22"/>
          <w:szCs w:val="22"/>
          <w:lang w:val="mn-MN"/>
        </w:rPr>
        <w:t>Санхүүгийн зохицуулах хорооны 202</w:t>
      </w:r>
      <w:r w:rsidRPr="00684B44">
        <w:rPr>
          <w:rFonts w:ascii="Times New Roman" w:hAnsi="Times New Roman" w:cs="Times New Roman"/>
          <w:sz w:val="22"/>
          <w:szCs w:val="22"/>
        </w:rPr>
        <w:t>5</w:t>
      </w:r>
      <w:r w:rsidRPr="00684B44">
        <w:rPr>
          <w:rFonts w:ascii="Times New Roman" w:hAnsi="Times New Roman" w:cs="Times New Roman"/>
          <w:sz w:val="22"/>
          <w:szCs w:val="22"/>
          <w:lang w:val="mn-MN"/>
        </w:rPr>
        <w:t xml:space="preserve"> оны</w:t>
      </w:r>
    </w:p>
    <w:p w14:paraId="6979B9B4" w14:textId="77777777" w:rsidR="00FA59EB" w:rsidRPr="00684B44" w:rsidRDefault="00FA59EB" w:rsidP="00FA59EB">
      <w:pPr>
        <w:spacing w:after="0" w:line="240" w:lineRule="auto"/>
        <w:jc w:val="right"/>
        <w:rPr>
          <w:rFonts w:ascii="Times New Roman" w:hAnsi="Times New Roman" w:cs="Times New Roman"/>
          <w:sz w:val="22"/>
          <w:szCs w:val="22"/>
          <w:lang w:val="mn-MN"/>
        </w:rPr>
      </w:pPr>
      <w:r w:rsidRPr="00684B44">
        <w:rPr>
          <w:rFonts w:ascii="Times New Roman" w:hAnsi="Times New Roman" w:cs="Times New Roman"/>
          <w:sz w:val="22"/>
          <w:szCs w:val="22"/>
          <w:lang w:val="mn-MN"/>
        </w:rPr>
        <w:t xml:space="preserve"> 12 дугаар сарын ......-н</w:t>
      </w:r>
      <w:r w:rsidRPr="00684B44">
        <w:rPr>
          <w:rFonts w:ascii="Times New Roman" w:hAnsi="Times New Roman"/>
          <w:sz w:val="22"/>
          <w:szCs w:val="22"/>
          <w:lang w:val="mn-MN" w:bidi="mn-Mong-CN"/>
        </w:rPr>
        <w:t>ы</w:t>
      </w:r>
      <w:r w:rsidRPr="00684B44">
        <w:rPr>
          <w:rFonts w:ascii="Times New Roman" w:hAnsi="Times New Roman" w:cs="Times New Roman"/>
          <w:sz w:val="22"/>
          <w:szCs w:val="22"/>
          <w:lang w:val="mn-MN"/>
        </w:rPr>
        <w:t xml:space="preserve">  өдрийн...........</w:t>
      </w:r>
    </w:p>
    <w:p w14:paraId="7DD62513" w14:textId="32E7802A" w:rsidR="00FA59EB" w:rsidRPr="00684B44" w:rsidRDefault="00FA59EB" w:rsidP="00FA59EB">
      <w:pPr>
        <w:spacing w:after="0" w:line="240" w:lineRule="auto"/>
        <w:jc w:val="right"/>
        <w:rPr>
          <w:rFonts w:ascii="Times New Roman" w:hAnsi="Times New Roman" w:cs="Times New Roman"/>
          <w:sz w:val="22"/>
          <w:szCs w:val="22"/>
          <w:lang w:val="mn-MN"/>
        </w:rPr>
      </w:pPr>
      <w:r w:rsidRPr="00684B44">
        <w:rPr>
          <w:rFonts w:ascii="Times New Roman" w:hAnsi="Times New Roman" w:cs="Times New Roman"/>
          <w:sz w:val="22"/>
          <w:szCs w:val="22"/>
          <w:lang w:val="mn-MN"/>
        </w:rPr>
        <w:t xml:space="preserve">тоот албан бичгийн </w:t>
      </w:r>
      <w:r w:rsidRPr="00684B44">
        <w:rPr>
          <w:rFonts w:ascii="Times New Roman" w:hAnsi="Times New Roman" w:cs="Times New Roman"/>
          <w:sz w:val="22"/>
          <w:szCs w:val="22"/>
          <w:lang w:val="mn-MN" w:bidi="mn-Mong-CN"/>
        </w:rPr>
        <w:t xml:space="preserve"> </w:t>
      </w:r>
      <w:r w:rsidR="00E94E99">
        <w:rPr>
          <w:rFonts w:ascii="Times New Roman" w:hAnsi="Times New Roman" w:cs="Times New Roman"/>
          <w:sz w:val="22"/>
          <w:szCs w:val="22"/>
          <w:lang w:val="mn-MN" w:bidi="mn-Mong-CN"/>
        </w:rPr>
        <w:t xml:space="preserve">нэгдүгээр </w:t>
      </w:r>
      <w:r w:rsidRPr="00684B44">
        <w:rPr>
          <w:rFonts w:ascii="Times New Roman" w:hAnsi="Times New Roman" w:cs="Times New Roman"/>
          <w:sz w:val="22"/>
          <w:szCs w:val="22"/>
          <w:lang w:val="mn-MN"/>
        </w:rPr>
        <w:t xml:space="preserve">хавсралт </w:t>
      </w:r>
    </w:p>
    <w:p w14:paraId="1B593F51" w14:textId="77777777" w:rsidR="00FA59EB" w:rsidRDefault="00FA59EB" w:rsidP="00FA59EB">
      <w:pPr>
        <w:spacing w:after="0"/>
        <w:jc w:val="right"/>
        <w:rPr>
          <w:rFonts w:ascii="Times New Roman" w:hAnsi="Times New Roman" w:cs="Times New Roman"/>
          <w:b/>
          <w:bCs/>
        </w:rPr>
      </w:pPr>
    </w:p>
    <w:p w14:paraId="1F820807" w14:textId="77777777" w:rsidR="00472E94" w:rsidRPr="00B1556D" w:rsidRDefault="00472E94" w:rsidP="00FA59EB">
      <w:pPr>
        <w:jc w:val="right"/>
        <w:rPr>
          <w:rFonts w:ascii="Times New Roman" w:hAnsi="Times New Roman" w:cs="Times New Roman"/>
        </w:rPr>
      </w:pPr>
    </w:p>
    <w:p w14:paraId="251B95D1" w14:textId="4BB380A9" w:rsidR="00926FA9" w:rsidRPr="00B1556D" w:rsidRDefault="00926FA9" w:rsidP="00926FA9">
      <w:pPr>
        <w:spacing w:after="0"/>
        <w:jc w:val="center"/>
        <w:rPr>
          <w:rFonts w:ascii="Times New Roman" w:hAnsi="Times New Roman" w:cs="Times New Roman"/>
          <w:b/>
          <w:bCs/>
        </w:rPr>
      </w:pPr>
      <w:r w:rsidRPr="00B1556D">
        <w:rPr>
          <w:rFonts w:ascii="Times New Roman" w:hAnsi="Times New Roman" w:cs="Times New Roman"/>
          <w:b/>
          <w:bCs/>
        </w:rPr>
        <w:t xml:space="preserve">МОНГОЛ УЛСЫН </w:t>
      </w:r>
      <w:r w:rsidR="000242F9" w:rsidRPr="00B1556D">
        <w:rPr>
          <w:rFonts w:ascii="Times New Roman" w:hAnsi="Times New Roman" w:cs="Times New Roman"/>
          <w:b/>
          <w:bCs/>
        </w:rPr>
        <w:t xml:space="preserve">ХӨГЖЛИЙН 2025 ОНЫ ТӨЛӨВЛӨГӨӨНИЙ </w:t>
      </w:r>
    </w:p>
    <w:p w14:paraId="5FF4373C" w14:textId="2CA464ED" w:rsidR="00926FA9" w:rsidRPr="00B1556D" w:rsidRDefault="00C424D4" w:rsidP="00926FA9">
      <w:pPr>
        <w:spacing w:after="0" w:line="240" w:lineRule="auto"/>
        <w:jc w:val="center"/>
        <w:rPr>
          <w:rFonts w:ascii="Times New Roman" w:hAnsi="Times New Roman" w:cs="Times New Roman"/>
          <w:b/>
          <w:bCs/>
        </w:rPr>
      </w:pPr>
      <w:r w:rsidRPr="00B1556D">
        <w:rPr>
          <w:rFonts w:ascii="Times New Roman" w:hAnsi="Times New Roman" w:cs="Times New Roman"/>
          <w:b/>
          <w:bCs/>
        </w:rPr>
        <w:t xml:space="preserve"> 2025 ОНЫ ЖИЛИЙН ЭЦСИЙН ТАЙЛАН </w:t>
      </w:r>
    </w:p>
    <w:p w14:paraId="5DB7391C" w14:textId="597024D1" w:rsidR="00926FA9" w:rsidRPr="00B1556D" w:rsidRDefault="00926FA9" w:rsidP="00096F32">
      <w:pPr>
        <w:jc w:val="center"/>
        <w:rPr>
          <w:rFonts w:ascii="Times New Roman" w:hAnsi="Times New Roman" w:cs="Times New Roman"/>
        </w:rPr>
      </w:pPr>
      <w:r w:rsidRPr="00B1556D">
        <w:rPr>
          <w:rFonts w:ascii="Times New Roman" w:hAnsi="Times New Roman" w:cs="Times New Roman"/>
        </w:rPr>
        <w:t>/САНХҮҮГИЙН ЗОХИЦУУЛАХ ХОРОО /</w:t>
      </w:r>
    </w:p>
    <w:tbl>
      <w:tblPr>
        <w:tblStyle w:val="TableGrid"/>
        <w:tblW w:w="14884" w:type="dxa"/>
        <w:tblInd w:w="-572" w:type="dxa"/>
        <w:tblLayout w:type="fixed"/>
        <w:tblLook w:val="04A0" w:firstRow="1" w:lastRow="0" w:firstColumn="1" w:lastColumn="0" w:noHBand="0" w:noVBand="1"/>
      </w:tblPr>
      <w:tblGrid>
        <w:gridCol w:w="1701"/>
        <w:gridCol w:w="1701"/>
        <w:gridCol w:w="1134"/>
        <w:gridCol w:w="1985"/>
        <w:gridCol w:w="1417"/>
        <w:gridCol w:w="993"/>
        <w:gridCol w:w="1275"/>
        <w:gridCol w:w="993"/>
        <w:gridCol w:w="2976"/>
        <w:gridCol w:w="709"/>
      </w:tblGrid>
      <w:tr w:rsidR="00B1556D" w:rsidRPr="00B1556D" w14:paraId="0D1C4256" w14:textId="1783640F" w:rsidTr="00B1556D">
        <w:trPr>
          <w:cantSplit/>
          <w:trHeight w:val="829"/>
        </w:trPr>
        <w:tc>
          <w:tcPr>
            <w:tcW w:w="1701" w:type="dxa"/>
            <w:vMerge w:val="restart"/>
            <w:vAlign w:val="center"/>
          </w:tcPr>
          <w:p w14:paraId="63E69965" w14:textId="6F76C306"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ТЕЗ-ийн үр дүн</w:t>
            </w:r>
          </w:p>
        </w:tc>
        <w:tc>
          <w:tcPr>
            <w:tcW w:w="1701" w:type="dxa"/>
            <w:vMerge w:val="restart"/>
            <w:vAlign w:val="center"/>
          </w:tcPr>
          <w:p w14:paraId="2097B26D" w14:textId="1BC1C642"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Хөтөлбөрийн үр дүн</w:t>
            </w:r>
          </w:p>
        </w:tc>
        <w:tc>
          <w:tcPr>
            <w:tcW w:w="1134" w:type="dxa"/>
            <w:vMerge w:val="restart"/>
            <w:vAlign w:val="center"/>
          </w:tcPr>
          <w:p w14:paraId="76A4C74D" w14:textId="49E6F5A6"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Бодлогын үндэслэл</w:t>
            </w:r>
          </w:p>
        </w:tc>
        <w:tc>
          <w:tcPr>
            <w:tcW w:w="1985" w:type="dxa"/>
            <w:vMerge w:val="restart"/>
            <w:vAlign w:val="center"/>
          </w:tcPr>
          <w:p w14:paraId="2A7ECEA8" w14:textId="0FE3A808"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Төсөл арга хэмжээ</w:t>
            </w:r>
          </w:p>
        </w:tc>
        <w:tc>
          <w:tcPr>
            <w:tcW w:w="1417" w:type="dxa"/>
            <w:vMerge w:val="restart"/>
            <w:vAlign w:val="center"/>
          </w:tcPr>
          <w:p w14:paraId="5DCADC45" w14:textId="175088D8"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Шалгуур үзүүлэлт</w:t>
            </w:r>
          </w:p>
        </w:tc>
        <w:tc>
          <w:tcPr>
            <w:tcW w:w="2268" w:type="dxa"/>
            <w:gridSpan w:val="2"/>
          </w:tcPr>
          <w:p w14:paraId="00E7AAF8" w14:textId="77777777" w:rsidR="003D5D5F" w:rsidRPr="00B1556D" w:rsidRDefault="000A2AF5" w:rsidP="000A2AF5">
            <w:pPr>
              <w:ind w:left="113" w:right="113"/>
              <w:jc w:val="center"/>
              <w:rPr>
                <w:rFonts w:ascii="Times New Roman" w:hAnsi="Times New Roman" w:cs="Times New Roman"/>
                <w:b/>
                <w:bCs/>
                <w:sz w:val="20"/>
                <w:szCs w:val="20"/>
              </w:rPr>
            </w:pPr>
            <w:r w:rsidRPr="00B1556D">
              <w:rPr>
                <w:rFonts w:ascii="Times New Roman" w:hAnsi="Times New Roman" w:cs="Times New Roman"/>
                <w:b/>
                <w:bCs/>
                <w:sz w:val="20"/>
                <w:szCs w:val="20"/>
              </w:rPr>
              <w:t>Үр дүнгийн</w:t>
            </w:r>
          </w:p>
          <w:p w14:paraId="4AFB36A2" w14:textId="395EB237" w:rsidR="000A2AF5" w:rsidRPr="00B1556D" w:rsidRDefault="000A2AF5" w:rsidP="000A2AF5">
            <w:pPr>
              <w:ind w:left="113" w:right="113"/>
              <w:jc w:val="center"/>
              <w:rPr>
                <w:rFonts w:ascii="Times New Roman" w:hAnsi="Times New Roman" w:cs="Times New Roman"/>
                <w:b/>
                <w:bCs/>
                <w:sz w:val="20"/>
                <w:szCs w:val="20"/>
              </w:rPr>
            </w:pPr>
            <w:r w:rsidRPr="00B1556D">
              <w:rPr>
                <w:rFonts w:ascii="Times New Roman" w:hAnsi="Times New Roman" w:cs="Times New Roman"/>
                <w:b/>
                <w:bCs/>
                <w:sz w:val="20"/>
                <w:szCs w:val="20"/>
              </w:rPr>
              <w:t xml:space="preserve"> үзүүлэлт</w:t>
            </w:r>
          </w:p>
        </w:tc>
        <w:tc>
          <w:tcPr>
            <w:tcW w:w="993" w:type="dxa"/>
            <w:vMerge w:val="restart"/>
            <w:textDirection w:val="btLr"/>
          </w:tcPr>
          <w:p w14:paraId="4A7129B8" w14:textId="12A7D0A0" w:rsidR="000A2AF5" w:rsidRPr="00B1556D" w:rsidRDefault="000A2AF5" w:rsidP="000A2AF5">
            <w:pPr>
              <w:ind w:left="113" w:right="113"/>
              <w:jc w:val="both"/>
              <w:rPr>
                <w:rFonts w:ascii="Times New Roman" w:hAnsi="Times New Roman" w:cs="Times New Roman"/>
                <w:b/>
                <w:bCs/>
                <w:sz w:val="20"/>
                <w:szCs w:val="20"/>
              </w:rPr>
            </w:pPr>
            <w:r w:rsidRPr="00B1556D">
              <w:rPr>
                <w:rFonts w:ascii="Times New Roman" w:hAnsi="Times New Roman" w:cs="Times New Roman"/>
                <w:b/>
                <w:bCs/>
                <w:sz w:val="20"/>
                <w:szCs w:val="20"/>
              </w:rPr>
              <w:t>Санхүүжилтийн эх үүсвэр</w:t>
            </w:r>
          </w:p>
        </w:tc>
        <w:tc>
          <w:tcPr>
            <w:tcW w:w="2976" w:type="dxa"/>
            <w:vMerge w:val="restart"/>
            <w:vAlign w:val="center"/>
          </w:tcPr>
          <w:p w14:paraId="12223500" w14:textId="34826FFE"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Хэрэгжилт</w:t>
            </w:r>
          </w:p>
        </w:tc>
        <w:tc>
          <w:tcPr>
            <w:tcW w:w="709" w:type="dxa"/>
            <w:vMerge w:val="restart"/>
          </w:tcPr>
          <w:p w14:paraId="37CE6547" w14:textId="77777777" w:rsidR="00B1556D" w:rsidRPr="00B1556D" w:rsidRDefault="00B1556D" w:rsidP="00B1556D">
            <w:pPr>
              <w:jc w:val="center"/>
              <w:rPr>
                <w:rFonts w:ascii="Times New Roman" w:hAnsi="Times New Roman" w:cs="Times New Roman"/>
                <w:b/>
                <w:bCs/>
                <w:sz w:val="20"/>
                <w:szCs w:val="20"/>
              </w:rPr>
            </w:pPr>
          </w:p>
          <w:p w14:paraId="7A921D43" w14:textId="77777777" w:rsidR="00B1556D" w:rsidRPr="00B1556D" w:rsidRDefault="00B1556D" w:rsidP="00B1556D">
            <w:pPr>
              <w:jc w:val="center"/>
              <w:rPr>
                <w:rFonts w:ascii="Times New Roman" w:hAnsi="Times New Roman" w:cs="Times New Roman"/>
                <w:b/>
                <w:bCs/>
                <w:sz w:val="20"/>
                <w:szCs w:val="20"/>
              </w:rPr>
            </w:pPr>
          </w:p>
          <w:p w14:paraId="1E76FDBA" w14:textId="77777777" w:rsidR="00B1556D" w:rsidRPr="00B1556D" w:rsidRDefault="00B1556D" w:rsidP="00B1556D">
            <w:pPr>
              <w:jc w:val="center"/>
              <w:rPr>
                <w:rFonts w:ascii="Times New Roman" w:hAnsi="Times New Roman" w:cs="Times New Roman"/>
                <w:b/>
                <w:bCs/>
                <w:sz w:val="20"/>
                <w:szCs w:val="20"/>
              </w:rPr>
            </w:pPr>
          </w:p>
          <w:p w14:paraId="26A23F36" w14:textId="3D83F4A9" w:rsidR="000A2AF5" w:rsidRPr="00B1556D" w:rsidRDefault="00B1556D" w:rsidP="00B1556D">
            <w:pPr>
              <w:jc w:val="center"/>
              <w:rPr>
                <w:rFonts w:ascii="Times New Roman" w:hAnsi="Times New Roman" w:cs="Times New Roman"/>
                <w:b/>
                <w:bCs/>
                <w:sz w:val="18"/>
                <w:szCs w:val="18"/>
              </w:rPr>
            </w:pPr>
            <w:r w:rsidRPr="00B1556D">
              <w:rPr>
                <w:rFonts w:ascii="Times New Roman" w:hAnsi="Times New Roman" w:cs="Times New Roman"/>
                <w:b/>
                <w:bCs/>
                <w:sz w:val="18"/>
                <w:szCs w:val="18"/>
              </w:rPr>
              <w:t>ХШҮ</w:t>
            </w:r>
          </w:p>
        </w:tc>
      </w:tr>
      <w:tr w:rsidR="00B1556D" w:rsidRPr="00B1556D" w14:paraId="1554894F" w14:textId="77777777" w:rsidTr="00B1556D">
        <w:trPr>
          <w:cantSplit/>
          <w:trHeight w:val="819"/>
        </w:trPr>
        <w:tc>
          <w:tcPr>
            <w:tcW w:w="1701" w:type="dxa"/>
            <w:vMerge/>
          </w:tcPr>
          <w:p w14:paraId="03CF8C57" w14:textId="77777777" w:rsidR="000A2AF5" w:rsidRPr="00B1556D" w:rsidRDefault="000A2AF5" w:rsidP="00553C97">
            <w:pPr>
              <w:jc w:val="center"/>
              <w:rPr>
                <w:rFonts w:ascii="Times New Roman" w:hAnsi="Times New Roman" w:cs="Times New Roman"/>
              </w:rPr>
            </w:pPr>
          </w:p>
        </w:tc>
        <w:tc>
          <w:tcPr>
            <w:tcW w:w="1701" w:type="dxa"/>
            <w:vMerge/>
          </w:tcPr>
          <w:p w14:paraId="4C47A478" w14:textId="77777777" w:rsidR="000A2AF5" w:rsidRPr="00B1556D" w:rsidRDefault="000A2AF5" w:rsidP="00553C97">
            <w:pPr>
              <w:jc w:val="center"/>
              <w:rPr>
                <w:rFonts w:ascii="Times New Roman" w:hAnsi="Times New Roman" w:cs="Times New Roman"/>
              </w:rPr>
            </w:pPr>
          </w:p>
        </w:tc>
        <w:tc>
          <w:tcPr>
            <w:tcW w:w="1134" w:type="dxa"/>
            <w:vMerge/>
          </w:tcPr>
          <w:p w14:paraId="737D78A4" w14:textId="77777777" w:rsidR="000A2AF5" w:rsidRPr="00B1556D" w:rsidRDefault="000A2AF5" w:rsidP="00553C97">
            <w:pPr>
              <w:jc w:val="center"/>
              <w:rPr>
                <w:rFonts w:ascii="Times New Roman" w:hAnsi="Times New Roman" w:cs="Times New Roman"/>
              </w:rPr>
            </w:pPr>
          </w:p>
        </w:tc>
        <w:tc>
          <w:tcPr>
            <w:tcW w:w="1985" w:type="dxa"/>
            <w:vMerge/>
          </w:tcPr>
          <w:p w14:paraId="2F8A1EBF" w14:textId="77777777" w:rsidR="000A2AF5" w:rsidRPr="00B1556D" w:rsidRDefault="000A2AF5" w:rsidP="005017FC">
            <w:pPr>
              <w:jc w:val="both"/>
              <w:rPr>
                <w:rFonts w:ascii="Times New Roman" w:hAnsi="Times New Roman" w:cs="Times New Roman"/>
              </w:rPr>
            </w:pPr>
          </w:p>
        </w:tc>
        <w:tc>
          <w:tcPr>
            <w:tcW w:w="1417" w:type="dxa"/>
            <w:vMerge/>
          </w:tcPr>
          <w:p w14:paraId="60CA3FE7" w14:textId="77777777" w:rsidR="000A2AF5" w:rsidRPr="00B1556D" w:rsidRDefault="000A2AF5" w:rsidP="005017FC">
            <w:pPr>
              <w:jc w:val="both"/>
              <w:rPr>
                <w:rFonts w:ascii="Times New Roman" w:hAnsi="Times New Roman" w:cs="Times New Roman"/>
              </w:rPr>
            </w:pPr>
          </w:p>
        </w:tc>
        <w:tc>
          <w:tcPr>
            <w:tcW w:w="993" w:type="dxa"/>
          </w:tcPr>
          <w:p w14:paraId="75F720A7" w14:textId="334DADF1" w:rsidR="000A2AF5" w:rsidRPr="00B1556D" w:rsidRDefault="000A2AF5" w:rsidP="003D5D5F">
            <w:pPr>
              <w:rPr>
                <w:rFonts w:ascii="Times New Roman" w:hAnsi="Times New Roman" w:cs="Times New Roman"/>
                <w:b/>
                <w:bCs/>
                <w:sz w:val="20"/>
                <w:szCs w:val="20"/>
              </w:rPr>
            </w:pPr>
            <w:r w:rsidRPr="00B1556D">
              <w:rPr>
                <w:rFonts w:ascii="Times New Roman" w:hAnsi="Times New Roman" w:cs="Times New Roman"/>
                <w:b/>
                <w:bCs/>
                <w:sz w:val="20"/>
                <w:szCs w:val="20"/>
              </w:rPr>
              <w:t>Суурь түвшин</w:t>
            </w:r>
            <w:r w:rsidR="003D5D5F" w:rsidRPr="00B1556D">
              <w:rPr>
                <w:rFonts w:ascii="Times New Roman" w:hAnsi="Times New Roman" w:cs="Times New Roman"/>
                <w:b/>
                <w:bCs/>
                <w:sz w:val="20"/>
                <w:szCs w:val="20"/>
              </w:rPr>
              <w:t>/2023/</w:t>
            </w:r>
          </w:p>
          <w:p w14:paraId="4A027BCD" w14:textId="365E87DD" w:rsidR="000A2AF5" w:rsidRPr="00B1556D" w:rsidRDefault="000A2AF5" w:rsidP="003D5D5F">
            <w:pPr>
              <w:rPr>
                <w:rFonts w:ascii="Times New Roman" w:hAnsi="Times New Roman" w:cs="Times New Roman"/>
                <w:b/>
                <w:bCs/>
                <w:sz w:val="20"/>
                <w:szCs w:val="20"/>
              </w:rPr>
            </w:pPr>
          </w:p>
        </w:tc>
        <w:tc>
          <w:tcPr>
            <w:tcW w:w="1275" w:type="dxa"/>
          </w:tcPr>
          <w:p w14:paraId="54479804" w14:textId="513A53C1" w:rsidR="000A2AF5" w:rsidRPr="00B1556D" w:rsidRDefault="000A2AF5" w:rsidP="003D5D5F">
            <w:pPr>
              <w:jc w:val="both"/>
              <w:rPr>
                <w:rFonts w:ascii="Times New Roman" w:hAnsi="Times New Roman" w:cs="Times New Roman"/>
                <w:b/>
                <w:bCs/>
                <w:sz w:val="20"/>
                <w:szCs w:val="20"/>
              </w:rPr>
            </w:pPr>
            <w:r w:rsidRPr="00B1556D">
              <w:rPr>
                <w:rFonts w:ascii="Times New Roman" w:hAnsi="Times New Roman" w:cs="Times New Roman"/>
                <w:b/>
                <w:bCs/>
                <w:sz w:val="20"/>
                <w:szCs w:val="20"/>
              </w:rPr>
              <w:t>Зорил</w:t>
            </w:r>
            <w:r w:rsidR="00B1556D" w:rsidRPr="00B1556D">
              <w:rPr>
                <w:rFonts w:ascii="Times New Roman" w:hAnsi="Times New Roman" w:cs="Times New Roman"/>
                <w:b/>
                <w:bCs/>
                <w:sz w:val="20"/>
                <w:szCs w:val="20"/>
              </w:rPr>
              <w:t xml:space="preserve">тот </w:t>
            </w:r>
            <w:r w:rsidRPr="00B1556D">
              <w:rPr>
                <w:rFonts w:ascii="Times New Roman" w:hAnsi="Times New Roman" w:cs="Times New Roman"/>
                <w:b/>
                <w:bCs/>
                <w:sz w:val="20"/>
                <w:szCs w:val="20"/>
              </w:rPr>
              <w:t>түвшин</w:t>
            </w:r>
            <w:r w:rsidR="003D5D5F" w:rsidRPr="00B1556D">
              <w:rPr>
                <w:rFonts w:ascii="Times New Roman" w:hAnsi="Times New Roman" w:cs="Times New Roman"/>
                <w:b/>
                <w:bCs/>
                <w:sz w:val="20"/>
                <w:szCs w:val="20"/>
              </w:rPr>
              <w:t xml:space="preserve"> /2025/</w:t>
            </w:r>
          </w:p>
          <w:p w14:paraId="4A539728" w14:textId="657904E3" w:rsidR="000A2AF5" w:rsidRPr="00B1556D" w:rsidRDefault="000A2AF5" w:rsidP="003D5D5F">
            <w:pPr>
              <w:jc w:val="both"/>
              <w:rPr>
                <w:rFonts w:ascii="Times New Roman" w:hAnsi="Times New Roman" w:cs="Times New Roman"/>
                <w:b/>
                <w:bCs/>
                <w:sz w:val="20"/>
                <w:szCs w:val="20"/>
              </w:rPr>
            </w:pPr>
          </w:p>
        </w:tc>
        <w:tc>
          <w:tcPr>
            <w:tcW w:w="993" w:type="dxa"/>
            <w:vMerge/>
            <w:textDirection w:val="btLr"/>
          </w:tcPr>
          <w:p w14:paraId="5C543D1D" w14:textId="35279388" w:rsidR="000A2AF5" w:rsidRPr="00B1556D" w:rsidRDefault="000A2AF5" w:rsidP="000A2AF5">
            <w:pPr>
              <w:ind w:left="113" w:right="113"/>
              <w:jc w:val="both"/>
              <w:rPr>
                <w:rFonts w:ascii="Times New Roman" w:hAnsi="Times New Roman" w:cs="Times New Roman"/>
              </w:rPr>
            </w:pPr>
          </w:p>
        </w:tc>
        <w:tc>
          <w:tcPr>
            <w:tcW w:w="2976" w:type="dxa"/>
            <w:vMerge/>
          </w:tcPr>
          <w:p w14:paraId="531776CF" w14:textId="77777777" w:rsidR="000A2AF5" w:rsidRPr="00B1556D" w:rsidRDefault="000A2AF5" w:rsidP="005017FC">
            <w:pPr>
              <w:jc w:val="both"/>
              <w:rPr>
                <w:rFonts w:ascii="Times New Roman" w:hAnsi="Times New Roman" w:cs="Times New Roman"/>
              </w:rPr>
            </w:pPr>
          </w:p>
        </w:tc>
        <w:tc>
          <w:tcPr>
            <w:tcW w:w="709" w:type="dxa"/>
            <w:vMerge/>
          </w:tcPr>
          <w:p w14:paraId="4635B459" w14:textId="77777777" w:rsidR="000A2AF5" w:rsidRPr="00B1556D" w:rsidRDefault="000A2AF5" w:rsidP="005017FC">
            <w:pPr>
              <w:jc w:val="both"/>
              <w:rPr>
                <w:rFonts w:ascii="Times New Roman" w:hAnsi="Times New Roman" w:cs="Times New Roman"/>
              </w:rPr>
            </w:pPr>
          </w:p>
        </w:tc>
      </w:tr>
      <w:tr w:rsidR="00B1556D" w:rsidRPr="00B1556D" w14:paraId="62CB3BEF" w14:textId="395FB117" w:rsidTr="00B1556D">
        <w:tc>
          <w:tcPr>
            <w:tcW w:w="14884" w:type="dxa"/>
            <w:gridSpan w:val="10"/>
          </w:tcPr>
          <w:p w14:paraId="27199B38" w14:textId="226BBAA6" w:rsidR="00ED4CA4" w:rsidRPr="00B1556D" w:rsidRDefault="00ED4CA4" w:rsidP="00ED4CA4">
            <w:pPr>
              <w:jc w:val="center"/>
              <w:rPr>
                <w:rFonts w:ascii="Times New Roman" w:hAnsi="Times New Roman" w:cs="Times New Roman"/>
                <w:b/>
                <w:bCs/>
              </w:rPr>
            </w:pPr>
            <w:r w:rsidRPr="00B1556D">
              <w:rPr>
                <w:rFonts w:ascii="Times New Roman" w:hAnsi="Times New Roman" w:cs="Times New Roman"/>
                <w:b/>
                <w:bCs/>
              </w:rPr>
              <w:t>НЭГ. ЭДИЙН ЗАСГИЙН БОДЛОГО</w:t>
            </w:r>
          </w:p>
        </w:tc>
      </w:tr>
      <w:tr w:rsidR="00B1556D" w:rsidRPr="00B1556D" w14:paraId="5C508CC0" w14:textId="1C648159" w:rsidTr="00B1556D">
        <w:tc>
          <w:tcPr>
            <w:tcW w:w="1701" w:type="dxa"/>
            <w:vMerge w:val="restart"/>
          </w:tcPr>
          <w:p w14:paraId="29C71A57" w14:textId="4E95CC15" w:rsidR="005933D6" w:rsidRPr="00B1556D" w:rsidRDefault="005933D6" w:rsidP="005017FC">
            <w:pPr>
              <w:jc w:val="both"/>
              <w:rPr>
                <w:rFonts w:ascii="Times New Roman" w:hAnsi="Times New Roman" w:cs="Times New Roman"/>
              </w:rPr>
            </w:pPr>
            <w:r w:rsidRPr="00B1556D">
              <w:rPr>
                <w:rFonts w:ascii="Times New Roman" w:hAnsi="Times New Roman" w:cs="Times New Roman"/>
              </w:rPr>
              <w:t>1.9.Бизнесийн үйл ажиллагааны зардлыг бууруулна.</w:t>
            </w:r>
          </w:p>
        </w:tc>
        <w:tc>
          <w:tcPr>
            <w:tcW w:w="1701" w:type="dxa"/>
            <w:vMerge w:val="restart"/>
          </w:tcPr>
          <w:p w14:paraId="564A3F44" w14:textId="170DA6C2" w:rsidR="005933D6" w:rsidRPr="00B1556D" w:rsidRDefault="005933D6" w:rsidP="005017FC">
            <w:pPr>
              <w:jc w:val="both"/>
              <w:rPr>
                <w:rFonts w:ascii="Times New Roman" w:hAnsi="Times New Roman" w:cs="Times New Roman"/>
              </w:rPr>
            </w:pPr>
            <w:r w:rsidRPr="00B1556D">
              <w:rPr>
                <w:rFonts w:ascii="Times New Roman" w:hAnsi="Times New Roman" w:cs="Times New Roman"/>
              </w:rPr>
              <w:t>1.9.1.Банк, санхүүгийн салбарын өрсөлдөөнийг нэмэгдүүлнэ.</w:t>
            </w:r>
          </w:p>
        </w:tc>
        <w:tc>
          <w:tcPr>
            <w:tcW w:w="1134" w:type="dxa"/>
          </w:tcPr>
          <w:p w14:paraId="7969EE5D" w14:textId="3CE3A1DA" w:rsidR="005933D6" w:rsidRPr="00B1556D" w:rsidRDefault="005933D6" w:rsidP="005017FC">
            <w:pPr>
              <w:jc w:val="both"/>
              <w:rPr>
                <w:rFonts w:ascii="Times New Roman" w:hAnsi="Times New Roman" w:cs="Times New Roman"/>
              </w:rPr>
            </w:pPr>
            <w:r w:rsidRPr="00B1556D">
              <w:rPr>
                <w:rFonts w:ascii="Times New Roman" w:hAnsi="Times New Roman" w:cs="Times New Roman"/>
              </w:rPr>
              <w:t>МУХТЖҮЧ-4.3.3,</w:t>
            </w:r>
            <w:r w:rsidRPr="00B1556D">
              <w:rPr>
                <w:rFonts w:ascii="Times New Roman" w:hAnsi="Times New Roman" w:cs="Times New Roman"/>
              </w:rPr>
              <w:br/>
              <w:t>ЗГҮАХ-3.1.3.2</w:t>
            </w:r>
          </w:p>
        </w:tc>
        <w:tc>
          <w:tcPr>
            <w:tcW w:w="1985" w:type="dxa"/>
          </w:tcPr>
          <w:p w14:paraId="6FEA5DBE" w14:textId="00C5812D" w:rsidR="005933D6" w:rsidRPr="00B1556D" w:rsidRDefault="005933D6" w:rsidP="005933D6">
            <w:pPr>
              <w:pStyle w:val="NormalWeb"/>
              <w:spacing w:after="0"/>
              <w:jc w:val="both"/>
              <w:rPr>
                <w:noProof w:val="0"/>
              </w:rPr>
            </w:pPr>
            <w:r w:rsidRPr="00B1556D">
              <w:t xml:space="preserve">1.9.1.1.Технологид суурилсан бичил санхүүгийн бүтээгдэхүүн, үйлчилгээг нэмэгдүүлэх, түүнийг зохицуулж хянахад шаардлагатай эрх зүйн орчныг бүрдүүлж, санхүүгийн технологийн стандартуудыг </w:t>
            </w:r>
            <w:r w:rsidRPr="00B1556D">
              <w:lastRenderedPageBreak/>
              <w:t>зах зээлд нэвтрүүлэх</w:t>
            </w:r>
          </w:p>
        </w:tc>
        <w:tc>
          <w:tcPr>
            <w:tcW w:w="1417" w:type="dxa"/>
          </w:tcPr>
          <w:p w14:paraId="0D1B3AE3" w14:textId="7200EEFA" w:rsidR="005933D6" w:rsidRPr="00B1556D" w:rsidRDefault="005933D6" w:rsidP="005017FC">
            <w:pPr>
              <w:jc w:val="both"/>
              <w:rPr>
                <w:rFonts w:ascii="Times New Roman" w:hAnsi="Times New Roman" w:cs="Times New Roman"/>
              </w:rPr>
            </w:pPr>
            <w:r w:rsidRPr="00B1556D">
              <w:rPr>
                <w:rFonts w:ascii="Times New Roman" w:hAnsi="Times New Roman" w:cs="Times New Roman"/>
              </w:rPr>
              <w:lastRenderedPageBreak/>
              <w:t>Арга хэмжээний хэрэгжилт</w:t>
            </w:r>
          </w:p>
        </w:tc>
        <w:tc>
          <w:tcPr>
            <w:tcW w:w="993" w:type="dxa"/>
          </w:tcPr>
          <w:p w14:paraId="750C521B" w14:textId="56E48981"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38855286" w14:textId="32635A10" w:rsidR="005933D6" w:rsidRPr="00B1556D" w:rsidRDefault="005933D6" w:rsidP="005933D6">
            <w:pPr>
              <w:jc w:val="center"/>
              <w:rPr>
                <w:rFonts w:ascii="Times New Roman" w:hAnsi="Times New Roman" w:cs="Times New Roman"/>
              </w:rPr>
            </w:pPr>
            <w:r w:rsidRPr="00B1556D">
              <w:rPr>
                <w:rFonts w:ascii="Times New Roman" w:hAnsi="Times New Roman" w:cs="Times New Roman"/>
              </w:rPr>
              <w:t>100%</w:t>
            </w:r>
          </w:p>
        </w:tc>
        <w:tc>
          <w:tcPr>
            <w:tcW w:w="993" w:type="dxa"/>
          </w:tcPr>
          <w:p w14:paraId="68AEC97D" w14:textId="6CB02FC4" w:rsidR="005933D6" w:rsidRPr="00B1556D" w:rsidRDefault="00827FF9" w:rsidP="005017FC">
            <w:pPr>
              <w:jc w:val="both"/>
              <w:rPr>
                <w:rFonts w:ascii="Times New Roman" w:hAnsi="Times New Roman" w:cs="Times New Roman"/>
              </w:rPr>
            </w:pPr>
            <w:r w:rsidRPr="00B1556D">
              <w:rPr>
                <w:rFonts w:ascii="Times New Roman" w:hAnsi="Times New Roman" w:cs="Times New Roman"/>
              </w:rPr>
              <w:t xml:space="preserve">Төр хувийн хэвшлийн </w:t>
            </w:r>
            <w:r w:rsidRPr="00B1556D">
              <w:rPr>
                <w:rFonts w:ascii="Times New Roman" w:hAnsi="Times New Roman" w:cs="Times New Roman"/>
                <w:lang w:val="mn-MN"/>
              </w:rPr>
              <w:t xml:space="preserve">түншлэл </w:t>
            </w:r>
          </w:p>
        </w:tc>
        <w:tc>
          <w:tcPr>
            <w:tcW w:w="2976" w:type="dxa"/>
          </w:tcPr>
          <w:p w14:paraId="38EE0A8C" w14:textId="77777777" w:rsidR="005933D6" w:rsidRPr="00B1556D" w:rsidRDefault="00ED4CA4" w:rsidP="00ED4CA4">
            <w:pPr>
              <w:jc w:val="both"/>
              <w:rPr>
                <w:rFonts w:ascii="Times New Roman" w:hAnsi="Times New Roman" w:cs="Times New Roman"/>
                <w:b/>
                <w:bCs/>
              </w:rPr>
            </w:pPr>
            <w:r w:rsidRPr="00B1556D">
              <w:rPr>
                <w:rFonts w:ascii="Times New Roman" w:hAnsi="Times New Roman" w:cs="Times New Roman"/>
                <w:b/>
                <w:bCs/>
              </w:rPr>
              <w:t>Үнэт цаасны газрын чиглэлээр:</w:t>
            </w:r>
          </w:p>
          <w:p w14:paraId="0600F1C6" w14:textId="77777777" w:rsidR="00ED4CA4" w:rsidRPr="00B1556D" w:rsidRDefault="00ED4CA4" w:rsidP="00ED4CA4">
            <w:pPr>
              <w:jc w:val="both"/>
              <w:rPr>
                <w:rFonts w:ascii="Times New Roman" w:hAnsi="Times New Roman" w:cs="Times New Roman"/>
              </w:rPr>
            </w:pPr>
            <w:r w:rsidRPr="00B1556D">
              <w:rPr>
                <w:rFonts w:ascii="Times New Roman" w:hAnsi="Times New Roman" w:cs="Times New Roman"/>
              </w:rPr>
              <w:t xml:space="preserve">Улсын Их Хурлаас 2024 оны 05 дугаар сарын 16-ны өдөр Үнэт цаасны зах зээлийн тухай хуульд нэмэлт, өөрчлөлт оруулан хувьцааны хамтын санхүүжилтийн үйл ажиллагааны журмыг Хороо батлахаар зохицуулалтыг тусгасан. Үүнтэй холбогдуулан </w:t>
            </w:r>
            <w:bookmarkStart w:id="0" w:name="_Hlk217549279"/>
            <w:r w:rsidRPr="00B1556D">
              <w:rPr>
                <w:rFonts w:ascii="Times New Roman" w:hAnsi="Times New Roman" w:cs="Times New Roman"/>
              </w:rPr>
              <w:t xml:space="preserve">Хорооны 2025 оны 06 дугаар тогтоолоор “Хувьцааны хамтын санхүүжилтийн үйл </w:t>
            </w:r>
            <w:r w:rsidRPr="00B1556D">
              <w:rPr>
                <w:rFonts w:ascii="Times New Roman" w:hAnsi="Times New Roman" w:cs="Times New Roman"/>
              </w:rPr>
              <w:lastRenderedPageBreak/>
              <w:t xml:space="preserve">ажиллагааны журам”-ыг батлаж, Захиргааны хэм хэмжээний актын улсын нэгдсэн бүртгэлийн </w:t>
            </w:r>
            <w:bookmarkEnd w:id="0"/>
            <w:r w:rsidRPr="00B1556D">
              <w:rPr>
                <w:rFonts w:ascii="Times New Roman" w:hAnsi="Times New Roman" w:cs="Times New Roman"/>
              </w:rPr>
              <w:t>7141 дугаарт бүртгүүлсэн. Тус журам батлагдсанаар гарааны компани, жижиг, дунд үйлдвэрлэл үйлчилгээ эрхлэгчид нь хувьцааны хамтын санхүүжилтийн үйлчилгээ үзүүлэгчээр дамжуулан хувьцаагаа санал болгон шаардлагатай санхүүжилтээ татан төвлөрүүлэх боломжтой болсон.</w:t>
            </w:r>
          </w:p>
          <w:p w14:paraId="6B7EAAA2" w14:textId="1E90BCC7" w:rsidR="00ED4CA4" w:rsidRPr="00B1556D" w:rsidRDefault="00ED4CA4" w:rsidP="00ED4CA4">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чиглэлээр:</w:t>
            </w:r>
          </w:p>
          <w:p w14:paraId="756506CE" w14:textId="77777777" w:rsidR="00ED4CA4" w:rsidRPr="00B1556D" w:rsidRDefault="00ED4CA4" w:rsidP="00ED4CA4">
            <w:pPr>
              <w:jc w:val="both"/>
              <w:rPr>
                <w:rFonts w:ascii="Times New Roman" w:hAnsi="Times New Roman" w:cs="Times New Roman"/>
                <w:lang w:val="mn-MN"/>
              </w:rPr>
            </w:pPr>
            <w:r w:rsidRPr="00B1556D">
              <w:rPr>
                <w:rFonts w:ascii="Times New Roman" w:hAnsi="Times New Roman" w:cs="Times New Roman"/>
                <w:lang w:val="mn-MN"/>
              </w:rPr>
              <w:t>Санхүүгийн үйлчилгээнд техник технологийг ашиглаж, шинэ төрлийн үйлчилгээ бий болгон, уламжлалт зээлийн үйлчилгээг хялбар, түргэн, шуурхай болгож буй 77 ББСБ 72 финтек зээлийн аппликэйшнээр дамжуулж цахим зээлийн үйлчилгээ үзүүлж байна.</w:t>
            </w:r>
          </w:p>
          <w:p w14:paraId="3FC2F3B6" w14:textId="77777777" w:rsidR="00ED4CA4" w:rsidRPr="00B1556D" w:rsidRDefault="00ED4CA4" w:rsidP="00ED4CA4">
            <w:pPr>
              <w:jc w:val="both"/>
              <w:rPr>
                <w:rFonts w:ascii="Times New Roman" w:hAnsi="Times New Roman" w:cs="Times New Roman"/>
                <w:lang w:val="mn-MN"/>
              </w:rPr>
            </w:pPr>
            <w:r w:rsidRPr="00B1556D">
              <w:rPr>
                <w:rFonts w:ascii="Times New Roman" w:hAnsi="Times New Roman" w:cs="Times New Roman"/>
                <w:lang w:val="mn-MN"/>
              </w:rPr>
              <w:t>Өмнөх оны мөн үеэс финтек зээлдэгчийн тоо 70.0 хувиар өсөн 2,637,111-</w:t>
            </w:r>
            <w:r w:rsidRPr="00B1556D">
              <w:rPr>
                <w:rFonts w:ascii="Times New Roman" w:hAnsi="Times New Roman" w:cs="Times New Roman"/>
                <w:lang w:val="mn-MN"/>
              </w:rPr>
              <w:lastRenderedPageBreak/>
              <w:t>д хүрч, зээлийн үлдэгдлийн хэмжээ 67.9% буюу 0.8 тэрбум төгрөгөөр нэмэгдсэн байна.</w:t>
            </w:r>
          </w:p>
          <w:p w14:paraId="57C23697" w14:textId="77777777" w:rsidR="00ED4CA4" w:rsidRPr="00B1556D" w:rsidRDefault="00ED4CA4" w:rsidP="00ED4CA4">
            <w:pPr>
              <w:jc w:val="both"/>
              <w:rPr>
                <w:rFonts w:ascii="Times New Roman" w:hAnsi="Times New Roman" w:cs="Times New Roman"/>
                <w:lang w:val="mn-MN"/>
              </w:rPr>
            </w:pPr>
            <w:r w:rsidRPr="00B1556D">
              <w:rPr>
                <w:rFonts w:ascii="Times New Roman" w:hAnsi="Times New Roman" w:cs="Times New Roman"/>
                <w:lang w:val="mn-MN"/>
              </w:rPr>
              <w:t>Санхүүгийн зохицуулах хорооны 2025 оны 68 дугаар тогтоолоор баталсан “Банк бус санхүүгийн үйл ажиллагааны болон зохистой харьцааны шалгуур үзүүлэлтийг тооцож, хяналт тавих журам”-д банк бус санхүүгийн үйл ажиллагааг дэвшилтэт технологийн шийдлийг ашиглан үзүүлэх тохиолдолд хувь хүн, хуулийн этгээдийн мэдээллийн аюулгүй байдлыг хангахтай холбогдуулан Кибер аюулгүй байдлын тухай хуульд заасан холбогдох шаардлагыг хангаж, ISO/IEC27001 стандартын гэрчилгээ авсан байх шаардлага тавьсан.</w:t>
            </w:r>
          </w:p>
          <w:p w14:paraId="214C40CC" w14:textId="6CA6EC3D" w:rsidR="00FF20DE" w:rsidRPr="00B1556D" w:rsidRDefault="00FF20DE" w:rsidP="00ED4CA4">
            <w:pPr>
              <w:jc w:val="both"/>
              <w:rPr>
                <w:rFonts w:ascii="Times New Roman" w:hAnsi="Times New Roman" w:cs="Times New Roman"/>
                <w:b/>
                <w:bCs/>
                <w:lang w:val="mn-MN"/>
              </w:rPr>
            </w:pPr>
            <w:r w:rsidRPr="00B1556D">
              <w:rPr>
                <w:rFonts w:ascii="Times New Roman" w:hAnsi="Times New Roman" w:cs="Times New Roman"/>
                <w:b/>
                <w:bCs/>
                <w:lang w:val="mn-MN"/>
              </w:rPr>
              <w:t>Хадгаламж зээлийн хоршооны газрын чиглэлээр:</w:t>
            </w:r>
          </w:p>
          <w:p w14:paraId="4355E127" w14:textId="457FEF62" w:rsidR="00733062" w:rsidRPr="00B1556D" w:rsidRDefault="00733062" w:rsidP="00ED4CA4">
            <w:pPr>
              <w:jc w:val="both"/>
              <w:rPr>
                <w:rFonts w:ascii="Times New Roman" w:hAnsi="Times New Roman" w:cs="Times New Roman"/>
                <w:lang w:val="mn-MN"/>
              </w:rPr>
            </w:pPr>
            <w:r w:rsidRPr="00B1556D">
              <w:rPr>
                <w:rFonts w:ascii="Times New Roman" w:hAnsi="Times New Roman" w:cs="Times New Roman"/>
                <w:lang w:val="mn-MN"/>
              </w:rPr>
              <w:t xml:space="preserve">Азийн хөгжийн банкны  санхүүжилтээр </w:t>
            </w:r>
            <w:r w:rsidRPr="00B1556D">
              <w:rPr>
                <w:rFonts w:ascii="Times New Roman" w:hAnsi="Times New Roman" w:cs="Times New Roman"/>
                <w:lang w:val="mn-MN"/>
              </w:rPr>
              <w:lastRenderedPageBreak/>
              <w:t>хэрэгжүүлж буй “Монгол Улсад финтек салбарын хууль, эрх зүй, зохицуулалтын орчныг хөгжүүлэх мэргэжлийн болон техник туслалцааны хөтөлбөр” төслийн хүрээнд боловсруулсан 2 тайланг танилцуулах уулзалтад оролцсон.</w:t>
            </w:r>
          </w:p>
          <w:p w14:paraId="62F50EB8" w14:textId="15A02AA1" w:rsidR="00733062" w:rsidRPr="00B1556D" w:rsidRDefault="00733062" w:rsidP="00ED4CA4">
            <w:pPr>
              <w:jc w:val="both"/>
              <w:rPr>
                <w:rFonts w:ascii="Times New Roman" w:hAnsi="Times New Roman" w:cs="Times New Roman"/>
                <w:b/>
                <w:bCs/>
                <w:lang w:val="mn-MN"/>
              </w:rPr>
            </w:pPr>
            <w:r w:rsidRPr="00B1556D">
              <w:rPr>
                <w:rFonts w:ascii="Times New Roman" w:hAnsi="Times New Roman" w:cs="Times New Roman"/>
                <w:lang w:val="mn-MN"/>
              </w:rPr>
              <w:t>Хөтөлбөрийн хүрээнд хийгдэж байгаа “Монгол Улсын финтек инновацын замын зураглал, хяналтын технологийн үнэлгээ ба зөвлөмжийн тайлан”-тай танилцаж, саналыг хүргүүлсэн.</w:t>
            </w:r>
            <w:r w:rsidR="005E3777" w:rsidRPr="00B1556D">
              <w:rPr>
                <w:rFonts w:ascii="Times New Roman" w:hAnsi="Times New Roman" w:cs="Times New Roman"/>
                <w:lang w:val="mn-MN"/>
              </w:rPr>
              <w:t xml:space="preserve"> Мөн хөтөлбөрийн хүрээнд зохион байгуулагдсан “Финтекийн инновацын форум болон чадавх бэхжүүлэх семинар”-т оролцсон.</w:t>
            </w:r>
          </w:p>
          <w:p w14:paraId="676A554D" w14:textId="36DC7356" w:rsidR="00FF20DE" w:rsidRPr="00B1556D" w:rsidRDefault="00FF20DE" w:rsidP="00ED4CA4">
            <w:pPr>
              <w:jc w:val="both"/>
              <w:rPr>
                <w:rFonts w:ascii="Times New Roman" w:hAnsi="Times New Roman" w:cs="Times New Roman"/>
              </w:rPr>
            </w:pPr>
            <w:r w:rsidRPr="00B1556D">
              <w:rPr>
                <w:rFonts w:ascii="Times New Roman" w:hAnsi="Times New Roman" w:cs="Times New Roman"/>
                <w:lang w:val="mn-MN"/>
              </w:rPr>
              <w:t>Дэвшилтэт технологи ашиглан цахимаар зээлийн үйлчилгээ үзүүлэхэд тавигдах шаардлага бүхий “Хадгаламж, зээлийн хоршооны үйл ажиллагаанд тавих шаардлага”-ын төслийг боловсруулсан бөгөөд  Х</w:t>
            </w:r>
            <w:r w:rsidR="008155F9" w:rsidRPr="00B1556D">
              <w:rPr>
                <w:rFonts w:ascii="Times New Roman" w:hAnsi="Times New Roman" w:cs="Times New Roman"/>
                <w:lang w:val="mn-MN"/>
              </w:rPr>
              <w:t xml:space="preserve">орооны </w:t>
            </w:r>
            <w:r w:rsidRPr="00B1556D">
              <w:rPr>
                <w:rFonts w:ascii="Times New Roman" w:hAnsi="Times New Roman" w:cs="Times New Roman"/>
                <w:lang w:val="mn-MN"/>
              </w:rPr>
              <w:t xml:space="preserve">хуралдаанаар  </w:t>
            </w:r>
            <w:r w:rsidRPr="00B1556D">
              <w:rPr>
                <w:rFonts w:ascii="Times New Roman" w:hAnsi="Times New Roman" w:cs="Times New Roman"/>
                <w:lang w:val="mn-MN"/>
              </w:rPr>
              <w:lastRenderedPageBreak/>
              <w:t>танилцуулахаар ажиллаж байна.</w:t>
            </w:r>
          </w:p>
        </w:tc>
        <w:tc>
          <w:tcPr>
            <w:tcW w:w="709" w:type="dxa"/>
          </w:tcPr>
          <w:p w14:paraId="56C2EA2E" w14:textId="4A60E496" w:rsidR="005933D6" w:rsidRPr="00B1556D" w:rsidRDefault="00AA5974" w:rsidP="005017FC">
            <w:pPr>
              <w:jc w:val="both"/>
              <w:rPr>
                <w:rFonts w:ascii="Times New Roman" w:hAnsi="Times New Roman" w:cs="Times New Roman"/>
              </w:rPr>
            </w:pPr>
            <w:r w:rsidRPr="00B1556D">
              <w:rPr>
                <w:rFonts w:ascii="Times New Roman" w:hAnsi="Times New Roman" w:cs="Times New Roman"/>
              </w:rPr>
              <w:lastRenderedPageBreak/>
              <w:t>100</w:t>
            </w:r>
          </w:p>
        </w:tc>
      </w:tr>
      <w:tr w:rsidR="00B1556D" w:rsidRPr="00B1556D" w14:paraId="55749F6D" w14:textId="0E9EBF0E" w:rsidTr="00B1556D">
        <w:tc>
          <w:tcPr>
            <w:tcW w:w="1701" w:type="dxa"/>
            <w:vMerge/>
          </w:tcPr>
          <w:p w14:paraId="19349418" w14:textId="77777777" w:rsidR="005933D6" w:rsidRPr="00B1556D" w:rsidRDefault="005933D6" w:rsidP="005017FC">
            <w:pPr>
              <w:jc w:val="both"/>
              <w:rPr>
                <w:rFonts w:ascii="Times New Roman" w:hAnsi="Times New Roman" w:cs="Times New Roman"/>
              </w:rPr>
            </w:pPr>
          </w:p>
        </w:tc>
        <w:tc>
          <w:tcPr>
            <w:tcW w:w="1701" w:type="dxa"/>
            <w:vMerge/>
          </w:tcPr>
          <w:p w14:paraId="1122173E" w14:textId="77777777" w:rsidR="005933D6" w:rsidRPr="00B1556D" w:rsidRDefault="005933D6" w:rsidP="005017FC">
            <w:pPr>
              <w:jc w:val="both"/>
              <w:rPr>
                <w:rFonts w:ascii="Times New Roman" w:hAnsi="Times New Roman" w:cs="Times New Roman"/>
              </w:rPr>
            </w:pPr>
          </w:p>
        </w:tc>
        <w:tc>
          <w:tcPr>
            <w:tcW w:w="1134" w:type="dxa"/>
          </w:tcPr>
          <w:p w14:paraId="63E253AD" w14:textId="74FE4F04" w:rsidR="005933D6" w:rsidRPr="00B1556D" w:rsidRDefault="005933D6" w:rsidP="005017FC">
            <w:pPr>
              <w:jc w:val="both"/>
              <w:rPr>
                <w:rFonts w:ascii="Times New Roman" w:hAnsi="Times New Roman" w:cs="Times New Roman"/>
              </w:rPr>
            </w:pPr>
            <w:r w:rsidRPr="00B1556D">
              <w:rPr>
                <w:rFonts w:ascii="Times New Roman" w:hAnsi="Times New Roman" w:cs="Times New Roman"/>
              </w:rPr>
              <w:t>МУХТЖҮЧ-4.3.2,</w:t>
            </w:r>
            <w:r w:rsidRPr="00B1556D">
              <w:rPr>
                <w:rFonts w:ascii="Times New Roman" w:hAnsi="Times New Roman" w:cs="Times New Roman"/>
              </w:rPr>
              <w:br/>
              <w:t>ЗГҮАХ-3.1.3.1</w:t>
            </w:r>
          </w:p>
        </w:tc>
        <w:tc>
          <w:tcPr>
            <w:tcW w:w="1985" w:type="dxa"/>
          </w:tcPr>
          <w:p w14:paraId="7CB10FDA" w14:textId="6DEF53A4" w:rsidR="005933D6" w:rsidRPr="00B1556D" w:rsidRDefault="005933D6" w:rsidP="005017FC">
            <w:pPr>
              <w:jc w:val="both"/>
              <w:rPr>
                <w:rFonts w:ascii="Times New Roman" w:hAnsi="Times New Roman" w:cs="Times New Roman"/>
              </w:rPr>
            </w:pPr>
            <w:r w:rsidRPr="00B1556D">
              <w:rPr>
                <w:rFonts w:ascii="Times New Roman" w:hAnsi="Times New Roman" w:cs="Times New Roman"/>
              </w:rPr>
              <w:t>1.9.1.3.Давхар даатгалын тогтолцоог боловсронгуй болгох хууль</w:t>
            </w:r>
            <w:r w:rsidRPr="00B1556D">
              <w:rPr>
                <w:rFonts w:ascii="Times New Roman" w:hAnsi="Times New Roman" w:cs="Times New Roman"/>
                <w:b/>
                <w:bCs/>
                <w:i/>
                <w:iCs/>
              </w:rPr>
              <w:t>,</w:t>
            </w:r>
            <w:r w:rsidRPr="00B1556D">
              <w:rPr>
                <w:rFonts w:ascii="Times New Roman" w:hAnsi="Times New Roman" w:cs="Times New Roman"/>
              </w:rPr>
              <w:t xml:space="preserve"> эрх, зүйн өөрчлөлтийг хийх</w:t>
            </w:r>
          </w:p>
        </w:tc>
        <w:tc>
          <w:tcPr>
            <w:tcW w:w="1417" w:type="dxa"/>
          </w:tcPr>
          <w:p w14:paraId="2FBA0FA3" w14:textId="789FE745" w:rsidR="005933D6" w:rsidRPr="00B1556D" w:rsidRDefault="005933D6" w:rsidP="005017FC">
            <w:pPr>
              <w:jc w:val="both"/>
              <w:rPr>
                <w:rFonts w:ascii="Times New Roman" w:hAnsi="Times New Roman" w:cs="Times New Roman"/>
              </w:rPr>
            </w:pPr>
            <w:r w:rsidRPr="00B1556D">
              <w:rPr>
                <w:rFonts w:ascii="Times New Roman" w:hAnsi="Times New Roman" w:cs="Times New Roman"/>
              </w:rPr>
              <w:t>Арга хэмжээний хэрэгжилт</w:t>
            </w:r>
          </w:p>
        </w:tc>
        <w:tc>
          <w:tcPr>
            <w:tcW w:w="993" w:type="dxa"/>
          </w:tcPr>
          <w:p w14:paraId="22E15DFF" w14:textId="54B86696"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3AD72F77" w14:textId="7FA4F710" w:rsidR="005933D6" w:rsidRPr="00B1556D" w:rsidRDefault="005933D6" w:rsidP="005933D6">
            <w:pPr>
              <w:jc w:val="center"/>
              <w:rPr>
                <w:rFonts w:ascii="Times New Roman" w:hAnsi="Times New Roman" w:cs="Times New Roman"/>
              </w:rPr>
            </w:pPr>
            <w:r w:rsidRPr="00B1556D">
              <w:rPr>
                <w:rFonts w:ascii="Times New Roman" w:hAnsi="Times New Roman" w:cs="Times New Roman"/>
              </w:rPr>
              <w:t>100%</w:t>
            </w:r>
          </w:p>
        </w:tc>
        <w:tc>
          <w:tcPr>
            <w:tcW w:w="993" w:type="dxa"/>
          </w:tcPr>
          <w:p w14:paraId="0FF6BA5B" w14:textId="195FDF73" w:rsidR="005933D6" w:rsidRPr="00B1556D" w:rsidRDefault="005933D6" w:rsidP="005017FC">
            <w:pPr>
              <w:jc w:val="both"/>
              <w:rPr>
                <w:rFonts w:ascii="Times New Roman" w:hAnsi="Times New Roman" w:cs="Times New Roman"/>
              </w:rPr>
            </w:pPr>
            <w:r w:rsidRPr="00B1556D">
              <w:rPr>
                <w:rFonts w:ascii="Times New Roman" w:hAnsi="Times New Roman" w:cs="Times New Roman"/>
              </w:rPr>
              <w:t>Улсын төсөв</w:t>
            </w:r>
          </w:p>
        </w:tc>
        <w:tc>
          <w:tcPr>
            <w:tcW w:w="2976" w:type="dxa"/>
          </w:tcPr>
          <w:p w14:paraId="30DDA6E4" w14:textId="1BDE2D28" w:rsidR="005933D6" w:rsidRPr="00B1556D" w:rsidRDefault="00627DC8" w:rsidP="00627DC8">
            <w:pPr>
              <w:jc w:val="both"/>
              <w:rPr>
                <w:rFonts w:ascii="Times New Roman" w:eastAsiaTheme="minorEastAsia" w:hAnsi="Times New Roman" w:cs="Times New Roman"/>
                <w:lang w:val="mn-MN" w:bidi="mn-Mong-MN"/>
              </w:rPr>
            </w:pPr>
            <w:r w:rsidRPr="00B1556D">
              <w:rPr>
                <w:rFonts w:ascii="Times New Roman" w:eastAsiaTheme="minorEastAsia" w:hAnsi="Times New Roman" w:cs="Times New Roman"/>
                <w:lang w:val="mn-MN"/>
              </w:rPr>
              <w:t>Давхар даатгалын зохицуулалтын орчныг сайжруулах чиглэлээр холбогдох судалгааг хийж</w:t>
            </w:r>
            <w:r w:rsidRPr="00B1556D">
              <w:rPr>
                <w:rFonts w:ascii="Times New Roman" w:eastAsiaTheme="minorEastAsia" w:hAnsi="Times New Roman" w:cs="Times New Roman"/>
                <w:lang w:val="mn-MN" w:bidi="mn-Mong-MN"/>
              </w:rPr>
              <w:t xml:space="preserve">, “Даатгалын багц дүрэм”-д нэмэлт өөрчлөлт оруулах тухай төсөлд дотоодын давхар даатгалыг дэмжсэн зохицуулалтыг тусгаад байна. Тодруулбал, даатгагчийн баталгаа гаргах үйл ажиллагаатай холбоотойгоор даатгагчийн гаргах баталгааны дээд хэмжээг тооцох шаардлага нь давхар даатгалын компанийн хувьд ялгаатай байхаар тусгасан. Ингэснээр баталгаатай холбоотойгоор дотоодод давхар даатгуулах хэмжээ 30 тэрбум төгрөгөөс 150 тэрбум төгрөг хүртэл нэмэгдэх, үүнийг дагаад давхар даатгалын хураамж хэлбэрээр гарах валютын урсгал буурах ач холбогдолтой болно. </w:t>
            </w:r>
            <w:r w:rsidRPr="00B1556D">
              <w:rPr>
                <w:rFonts w:ascii="Times New Roman" w:hAnsi="Times New Roman" w:cs="Times New Roman"/>
                <w:lang w:val="mn-MN"/>
              </w:rPr>
              <w:t xml:space="preserve">Төслийг эцэслэн боловсруулж, Хорооны </w:t>
            </w:r>
            <w:r w:rsidRPr="00B1556D">
              <w:rPr>
                <w:rFonts w:ascii="Times New Roman" w:hAnsi="Times New Roman" w:cs="Times New Roman"/>
                <w:lang w:val="mn-MN"/>
              </w:rPr>
              <w:lastRenderedPageBreak/>
              <w:t>хуралдаанд танилцуулж, шийдвэрлүүлэхээр ажиллаж байна.</w:t>
            </w:r>
            <w:r w:rsidRPr="00B1556D">
              <w:rPr>
                <w:rFonts w:ascii="Times New Roman" w:eastAsiaTheme="minorEastAsia" w:hAnsi="Times New Roman" w:cs="Times New Roman"/>
                <w:lang w:val="mn-MN"/>
              </w:rPr>
              <w:t xml:space="preserve"> Даатгалын тухай хуулийн шинэчилсэн найруулгын төсөлд дотоодын давхар даатгалын тогтолцоог дэмжих, хамтын даатгалыг хэрэгжүүлэх чиглэлээр шинэ зохицуулалтыг тусгаад байна.</w:t>
            </w:r>
          </w:p>
        </w:tc>
        <w:tc>
          <w:tcPr>
            <w:tcW w:w="709" w:type="dxa"/>
          </w:tcPr>
          <w:p w14:paraId="7B14357A" w14:textId="09EC6C94" w:rsidR="005933D6" w:rsidRPr="00B1556D" w:rsidRDefault="00EA3F9A" w:rsidP="005017FC">
            <w:pPr>
              <w:jc w:val="both"/>
              <w:rPr>
                <w:rFonts w:ascii="Times New Roman" w:hAnsi="Times New Roman" w:cs="Times New Roman"/>
              </w:rPr>
            </w:pPr>
            <w:r w:rsidRPr="00B1556D">
              <w:rPr>
                <w:rFonts w:ascii="Times New Roman" w:hAnsi="Times New Roman" w:cs="Times New Roman"/>
              </w:rPr>
              <w:lastRenderedPageBreak/>
              <w:t>85</w:t>
            </w:r>
          </w:p>
        </w:tc>
      </w:tr>
      <w:tr w:rsidR="00B1556D" w:rsidRPr="00B1556D" w14:paraId="6FD395F4" w14:textId="51548EC4" w:rsidTr="00B1556D">
        <w:tc>
          <w:tcPr>
            <w:tcW w:w="1701" w:type="dxa"/>
            <w:vMerge/>
          </w:tcPr>
          <w:p w14:paraId="76150EAF" w14:textId="77777777" w:rsidR="005933D6" w:rsidRPr="00B1556D" w:rsidRDefault="005933D6" w:rsidP="005017FC">
            <w:pPr>
              <w:jc w:val="both"/>
              <w:rPr>
                <w:rFonts w:ascii="Times New Roman" w:hAnsi="Times New Roman" w:cs="Times New Roman"/>
              </w:rPr>
            </w:pPr>
          </w:p>
        </w:tc>
        <w:tc>
          <w:tcPr>
            <w:tcW w:w="1701" w:type="dxa"/>
            <w:vMerge/>
          </w:tcPr>
          <w:p w14:paraId="20E1339B" w14:textId="77777777" w:rsidR="005933D6" w:rsidRPr="00B1556D" w:rsidRDefault="005933D6" w:rsidP="005017FC">
            <w:pPr>
              <w:jc w:val="both"/>
              <w:rPr>
                <w:rFonts w:ascii="Times New Roman" w:hAnsi="Times New Roman" w:cs="Times New Roman"/>
              </w:rPr>
            </w:pPr>
          </w:p>
        </w:tc>
        <w:tc>
          <w:tcPr>
            <w:tcW w:w="1134" w:type="dxa"/>
          </w:tcPr>
          <w:p w14:paraId="7A8587AA" w14:textId="42BDDB1B" w:rsidR="005933D6" w:rsidRPr="00B1556D" w:rsidRDefault="005933D6" w:rsidP="005933D6">
            <w:pPr>
              <w:pStyle w:val="NormalWeb"/>
              <w:spacing w:after="0"/>
              <w:jc w:val="both"/>
              <w:rPr>
                <w:noProof w:val="0"/>
              </w:rPr>
            </w:pPr>
            <w:r w:rsidRPr="00B1556D">
              <w:t>МУХТЖҮЧ-4.3.3,</w:t>
            </w:r>
            <w:r w:rsidRPr="00B1556D">
              <w:br/>
              <w:t>ЗГҮАХ-1.2.2.7</w:t>
            </w:r>
          </w:p>
        </w:tc>
        <w:tc>
          <w:tcPr>
            <w:tcW w:w="1985" w:type="dxa"/>
          </w:tcPr>
          <w:p w14:paraId="2D1BDAE6" w14:textId="77777777" w:rsidR="005933D6" w:rsidRPr="00B1556D" w:rsidRDefault="005933D6" w:rsidP="005933D6">
            <w:pPr>
              <w:pStyle w:val="NormalWeb"/>
              <w:spacing w:after="0"/>
              <w:jc w:val="both"/>
              <w:rPr>
                <w:noProof w:val="0"/>
              </w:rPr>
            </w:pPr>
            <w:r w:rsidRPr="00B1556D">
              <w:t xml:space="preserve">1.9.1.4.Бичил санхүүгийн байгууллагын төлбөрийн нэгдсэн систем, түүний хяналтын системийг хөгжүүлэх </w:t>
            </w:r>
          </w:p>
          <w:p w14:paraId="6FB27419" w14:textId="77777777" w:rsidR="005933D6" w:rsidRPr="00B1556D" w:rsidRDefault="005933D6" w:rsidP="005017FC">
            <w:pPr>
              <w:jc w:val="both"/>
              <w:rPr>
                <w:rFonts w:ascii="Times New Roman" w:hAnsi="Times New Roman" w:cs="Times New Roman"/>
              </w:rPr>
            </w:pPr>
          </w:p>
        </w:tc>
        <w:tc>
          <w:tcPr>
            <w:tcW w:w="1417" w:type="dxa"/>
          </w:tcPr>
          <w:p w14:paraId="2C1CE04A" w14:textId="7FF641B0" w:rsidR="005933D6" w:rsidRPr="00B1556D" w:rsidRDefault="005933D6" w:rsidP="005017FC">
            <w:pPr>
              <w:jc w:val="both"/>
              <w:rPr>
                <w:rFonts w:ascii="Times New Roman" w:hAnsi="Times New Roman" w:cs="Times New Roman"/>
              </w:rPr>
            </w:pPr>
            <w:r w:rsidRPr="00B1556D">
              <w:rPr>
                <w:rFonts w:ascii="Times New Roman" w:hAnsi="Times New Roman" w:cs="Times New Roman"/>
              </w:rPr>
              <w:t>Арга хэмжээний хэрэгжилт</w:t>
            </w:r>
          </w:p>
        </w:tc>
        <w:tc>
          <w:tcPr>
            <w:tcW w:w="993" w:type="dxa"/>
          </w:tcPr>
          <w:p w14:paraId="371A40D7" w14:textId="2542ED1B"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62F64BA0" w14:textId="76A71223" w:rsidR="005933D6" w:rsidRPr="00B1556D" w:rsidRDefault="005933D6" w:rsidP="005933D6">
            <w:pPr>
              <w:jc w:val="center"/>
              <w:rPr>
                <w:rFonts w:ascii="Times New Roman" w:hAnsi="Times New Roman" w:cs="Times New Roman"/>
              </w:rPr>
            </w:pPr>
            <w:r w:rsidRPr="00B1556D">
              <w:rPr>
                <w:rFonts w:ascii="Times New Roman" w:hAnsi="Times New Roman" w:cs="Times New Roman"/>
              </w:rPr>
              <w:t>100%</w:t>
            </w:r>
          </w:p>
        </w:tc>
        <w:tc>
          <w:tcPr>
            <w:tcW w:w="993" w:type="dxa"/>
          </w:tcPr>
          <w:p w14:paraId="73012BFD" w14:textId="77777777" w:rsidR="005933D6" w:rsidRPr="00B1556D" w:rsidRDefault="005933D6" w:rsidP="005017FC">
            <w:pPr>
              <w:jc w:val="both"/>
              <w:rPr>
                <w:rFonts w:ascii="Times New Roman" w:hAnsi="Times New Roman" w:cs="Times New Roman"/>
              </w:rPr>
            </w:pPr>
            <w:r w:rsidRPr="00B1556D">
              <w:rPr>
                <w:rFonts w:ascii="Times New Roman" w:hAnsi="Times New Roman" w:cs="Times New Roman"/>
              </w:rPr>
              <w:t xml:space="preserve">Бусад </w:t>
            </w:r>
          </w:p>
          <w:p w14:paraId="6AD53E70" w14:textId="33F957AA" w:rsidR="005933D6" w:rsidRPr="00B1556D" w:rsidRDefault="005933D6" w:rsidP="005017FC">
            <w:pPr>
              <w:jc w:val="both"/>
              <w:rPr>
                <w:rFonts w:ascii="Times New Roman" w:hAnsi="Times New Roman" w:cs="Times New Roman"/>
              </w:rPr>
            </w:pPr>
            <w:r w:rsidRPr="00B1556D">
              <w:rPr>
                <w:rFonts w:ascii="Times New Roman" w:hAnsi="Times New Roman" w:cs="Times New Roman"/>
              </w:rPr>
              <w:t>эх   үүсвэр</w:t>
            </w:r>
          </w:p>
        </w:tc>
        <w:tc>
          <w:tcPr>
            <w:tcW w:w="2976" w:type="dxa"/>
          </w:tcPr>
          <w:p w14:paraId="58B528FA" w14:textId="2FED14B2" w:rsidR="005933D6" w:rsidRPr="00B1556D" w:rsidRDefault="00ED4CA4" w:rsidP="005017FC">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чиглэлээр:</w:t>
            </w:r>
          </w:p>
          <w:p w14:paraId="190322BB" w14:textId="1D419660" w:rsidR="00ED4CA4" w:rsidRPr="00B1556D" w:rsidRDefault="00ED4CA4" w:rsidP="005017FC">
            <w:pPr>
              <w:jc w:val="both"/>
              <w:rPr>
                <w:rFonts w:ascii="Times New Roman" w:hAnsi="Times New Roman" w:cs="Times New Roman"/>
                <w:lang w:val="mn-MN"/>
              </w:rPr>
            </w:pPr>
            <w:r w:rsidRPr="00B1556D">
              <w:rPr>
                <w:rFonts w:ascii="Times New Roman" w:hAnsi="Times New Roman" w:cs="Times New Roman"/>
                <w:lang w:val="mn-MN"/>
              </w:rPr>
              <w:t>Төлбөрийн нэгдсэн системийг Монгол Улсад Монголбанкнаас хянаж зохицуулдаг бөгөөд 2025</w:t>
            </w:r>
            <w:r w:rsidR="008155F9" w:rsidRPr="00B1556D">
              <w:rPr>
                <w:rFonts w:ascii="Times New Roman" w:hAnsi="Times New Roman" w:cs="Times New Roman"/>
                <w:lang w:val="mn-MN"/>
              </w:rPr>
              <w:t xml:space="preserve"> оны </w:t>
            </w:r>
            <w:r w:rsidRPr="00B1556D">
              <w:rPr>
                <w:rFonts w:ascii="Times New Roman" w:hAnsi="Times New Roman" w:cs="Times New Roman"/>
                <w:lang w:val="mn-MN"/>
              </w:rPr>
              <w:t>12</w:t>
            </w:r>
            <w:r w:rsidR="008155F9" w:rsidRPr="00B1556D">
              <w:rPr>
                <w:rFonts w:ascii="Times New Roman" w:hAnsi="Times New Roman" w:cs="Times New Roman"/>
                <w:lang w:val="mn-MN"/>
              </w:rPr>
              <w:t xml:space="preserve"> дугаар сарын </w:t>
            </w:r>
            <w:r w:rsidRPr="00B1556D">
              <w:rPr>
                <w:rFonts w:ascii="Times New Roman" w:hAnsi="Times New Roman" w:cs="Times New Roman"/>
                <w:lang w:val="mn-MN"/>
              </w:rPr>
              <w:t>03-ны өдрийн байдлаар Монголбанкнаас Төлбөрийн хэрэгсэл,  Төлбөрийн карт гаргах, хүлээн авах зөвшөөрөлтэй 4 ББСБ (Хайпэй, Гурван зуун жар файнанс, Ардкредит, Изи пэй), Цахим мөнгөний зөвшөөрөлтэй 6 ББСБ (Мобифинанс, Супер ап хэтэвч, Ардкредит, ТОКИ, Хайпэй, Сэнд Эм Эн) байна.</w:t>
            </w:r>
          </w:p>
          <w:p w14:paraId="147054F1" w14:textId="6AEBF01A" w:rsidR="007A1522" w:rsidRPr="00B1556D" w:rsidRDefault="007A1522" w:rsidP="005017FC">
            <w:pPr>
              <w:jc w:val="both"/>
              <w:rPr>
                <w:rFonts w:ascii="Times New Roman" w:hAnsi="Times New Roman" w:cs="Times New Roman"/>
                <w:b/>
                <w:bCs/>
                <w:lang w:val="mn-MN"/>
              </w:rPr>
            </w:pPr>
            <w:r w:rsidRPr="00B1556D">
              <w:rPr>
                <w:rFonts w:ascii="Times New Roman" w:hAnsi="Times New Roman" w:cs="Times New Roman"/>
                <w:b/>
                <w:bCs/>
                <w:lang w:val="mn-MN"/>
              </w:rPr>
              <w:lastRenderedPageBreak/>
              <w:t>Хадгаламж зээлийн хоршоон</w:t>
            </w:r>
            <w:r w:rsidR="005F5CDA" w:rsidRPr="00B1556D">
              <w:rPr>
                <w:rFonts w:ascii="Times New Roman" w:hAnsi="Times New Roman" w:cs="Times New Roman"/>
                <w:b/>
                <w:bCs/>
                <w:lang w:val="mn-MN"/>
              </w:rPr>
              <w:t>ы</w:t>
            </w:r>
            <w:r w:rsidRPr="00B1556D">
              <w:rPr>
                <w:rFonts w:ascii="Times New Roman" w:hAnsi="Times New Roman" w:cs="Times New Roman"/>
                <w:b/>
                <w:bCs/>
                <w:lang w:val="mn-MN"/>
              </w:rPr>
              <w:t xml:space="preserve"> газрын чиглэлээр:</w:t>
            </w:r>
          </w:p>
          <w:p w14:paraId="4DF2E3A0" w14:textId="34775E05" w:rsidR="007A1522" w:rsidRPr="00B1556D" w:rsidRDefault="007A1522" w:rsidP="005017FC">
            <w:pPr>
              <w:jc w:val="both"/>
              <w:rPr>
                <w:rFonts w:ascii="Times New Roman" w:hAnsi="Times New Roman" w:cs="Times New Roman"/>
              </w:rPr>
            </w:pPr>
            <w:r w:rsidRPr="00B1556D">
              <w:rPr>
                <w:rFonts w:ascii="Times New Roman" w:hAnsi="Times New Roman" w:cs="Times New Roman"/>
              </w:rPr>
              <w:t>Санхүүгийн хоршооны тухай хууль (шинэчилсэн найруулга)-</w:t>
            </w:r>
            <w:r w:rsidRPr="00B1556D">
              <w:rPr>
                <w:rFonts w:ascii="Times New Roman" w:hAnsi="Times New Roman" w:cs="Times New Roman"/>
                <w:lang w:val="mn-MN"/>
              </w:rPr>
              <w:t>д</w:t>
            </w:r>
            <w:r w:rsidRPr="00B1556D">
              <w:rPr>
                <w:rFonts w:ascii="Times New Roman" w:eastAsia="Times New Roman" w:hAnsi="Times New Roman" w:cs="Times New Roman"/>
              </w:rPr>
              <w:t xml:space="preserve"> санхүүгийн хоршоодын дундын санхүүгийн байгууллага болох “Санхүүгийн хоршоодын нэгдсэн төв”-ий</w:t>
            </w:r>
            <w:r w:rsidRPr="00B1556D">
              <w:rPr>
                <w:rFonts w:ascii="Times New Roman" w:eastAsia="Times New Roman" w:hAnsi="Times New Roman" w:cs="Times New Roman"/>
                <w:lang w:val="mn-MN"/>
              </w:rPr>
              <w:t>н чиг үүрэгт салбарын хэмжээнд мэдээлэл технологийн нэгдсэн дэд бүтэц бий болгох, аюулгүй байдлыг хангах заалтыг тусгасан.</w:t>
            </w:r>
          </w:p>
        </w:tc>
        <w:tc>
          <w:tcPr>
            <w:tcW w:w="709" w:type="dxa"/>
          </w:tcPr>
          <w:p w14:paraId="33F5E260" w14:textId="29469106" w:rsidR="005933D6" w:rsidRPr="00B1556D" w:rsidRDefault="00014461" w:rsidP="005017FC">
            <w:pPr>
              <w:jc w:val="both"/>
              <w:rPr>
                <w:rFonts w:ascii="Times New Roman" w:hAnsi="Times New Roman" w:cs="Times New Roman"/>
              </w:rPr>
            </w:pPr>
            <w:r w:rsidRPr="00B1556D">
              <w:rPr>
                <w:rFonts w:ascii="Times New Roman" w:hAnsi="Times New Roman" w:cs="Times New Roman"/>
              </w:rPr>
              <w:lastRenderedPageBreak/>
              <w:t>70</w:t>
            </w:r>
          </w:p>
        </w:tc>
      </w:tr>
      <w:tr w:rsidR="00B1556D" w:rsidRPr="00B1556D" w14:paraId="1515661D" w14:textId="7AFA494C" w:rsidTr="00B1556D">
        <w:tc>
          <w:tcPr>
            <w:tcW w:w="1701" w:type="dxa"/>
          </w:tcPr>
          <w:p w14:paraId="232CA57B" w14:textId="0535CCC2" w:rsidR="005933D6" w:rsidRPr="00B1556D" w:rsidRDefault="005933D6" w:rsidP="005933D6">
            <w:pPr>
              <w:jc w:val="both"/>
              <w:rPr>
                <w:rFonts w:ascii="Times New Roman" w:hAnsi="Times New Roman" w:cs="Times New Roman"/>
              </w:rPr>
            </w:pPr>
            <w:r w:rsidRPr="00B1556D">
              <w:rPr>
                <w:rFonts w:ascii="Times New Roman" w:hAnsi="Times New Roman" w:cs="Times New Roman"/>
              </w:rPr>
              <w:t>1.10.Байгаль орчинд ээлтэй хөрөнгө оруулалтыг нэмэгдүүлнэ</w:t>
            </w:r>
          </w:p>
        </w:tc>
        <w:tc>
          <w:tcPr>
            <w:tcW w:w="1701" w:type="dxa"/>
          </w:tcPr>
          <w:p w14:paraId="02D532A2" w14:textId="58BC6FBD" w:rsidR="005933D6" w:rsidRPr="00B1556D" w:rsidRDefault="005933D6" w:rsidP="005933D6">
            <w:pPr>
              <w:jc w:val="both"/>
              <w:rPr>
                <w:rFonts w:ascii="Times New Roman" w:hAnsi="Times New Roman" w:cs="Times New Roman"/>
              </w:rPr>
            </w:pPr>
            <w:r w:rsidRPr="00B1556D">
              <w:rPr>
                <w:rFonts w:ascii="Times New Roman" w:hAnsi="Times New Roman" w:cs="Times New Roman"/>
              </w:rPr>
              <w:t>1.10.2.Ногоон эдийн засгийн санхүүжилтийн механизмыг бүрдүүлнэ.</w:t>
            </w:r>
          </w:p>
        </w:tc>
        <w:tc>
          <w:tcPr>
            <w:tcW w:w="1134" w:type="dxa"/>
          </w:tcPr>
          <w:p w14:paraId="48042740" w14:textId="1D5AA148" w:rsidR="005933D6" w:rsidRPr="00B1556D" w:rsidRDefault="005933D6" w:rsidP="005933D6">
            <w:pPr>
              <w:jc w:val="both"/>
              <w:rPr>
                <w:rFonts w:ascii="Times New Roman" w:hAnsi="Times New Roman" w:cs="Times New Roman"/>
              </w:rPr>
            </w:pPr>
            <w:r w:rsidRPr="00B1556D">
              <w:rPr>
                <w:rFonts w:ascii="Times New Roman" w:hAnsi="Times New Roman" w:cs="Times New Roman"/>
              </w:rPr>
              <w:t>МУХТЖҮЧ-6.4.1,</w:t>
            </w:r>
            <w:r w:rsidRPr="00B1556D">
              <w:rPr>
                <w:rFonts w:ascii="Times New Roman" w:hAnsi="Times New Roman" w:cs="Times New Roman"/>
              </w:rPr>
              <w:br/>
              <w:t>ЗГҮАХ-3.1.3.11</w:t>
            </w:r>
          </w:p>
        </w:tc>
        <w:tc>
          <w:tcPr>
            <w:tcW w:w="1985" w:type="dxa"/>
          </w:tcPr>
          <w:p w14:paraId="10EFC4CF" w14:textId="77777777" w:rsidR="005933D6" w:rsidRPr="00B1556D" w:rsidRDefault="005933D6" w:rsidP="005933D6">
            <w:pPr>
              <w:pStyle w:val="NormalWeb"/>
              <w:spacing w:after="0"/>
              <w:jc w:val="both"/>
              <w:rPr>
                <w:noProof w:val="0"/>
              </w:rPr>
            </w:pPr>
            <w:r w:rsidRPr="00B1556D">
              <w:t>1.10.2.1.Бичил санхүүгийн зах зээлд байгаль орчинд ээлтэй ногоон зээл, санхүүгийн бүтээгдэхүүн, үйлчилгээг нэвтрүүлэх</w:t>
            </w:r>
          </w:p>
          <w:p w14:paraId="62629725" w14:textId="77777777" w:rsidR="005933D6" w:rsidRPr="00B1556D" w:rsidRDefault="005933D6" w:rsidP="005933D6">
            <w:pPr>
              <w:jc w:val="both"/>
              <w:rPr>
                <w:rFonts w:ascii="Times New Roman" w:hAnsi="Times New Roman" w:cs="Times New Roman"/>
              </w:rPr>
            </w:pPr>
          </w:p>
        </w:tc>
        <w:tc>
          <w:tcPr>
            <w:tcW w:w="1417" w:type="dxa"/>
          </w:tcPr>
          <w:p w14:paraId="7B4D4F90" w14:textId="7B5C3D55" w:rsidR="005933D6" w:rsidRPr="00B1556D" w:rsidRDefault="005933D6" w:rsidP="005933D6">
            <w:pPr>
              <w:jc w:val="both"/>
              <w:rPr>
                <w:rFonts w:ascii="Times New Roman" w:hAnsi="Times New Roman" w:cs="Times New Roman"/>
              </w:rPr>
            </w:pPr>
            <w:r w:rsidRPr="00B1556D">
              <w:rPr>
                <w:rFonts w:ascii="Times New Roman" w:hAnsi="Times New Roman" w:cs="Times New Roman"/>
              </w:rPr>
              <w:t>Арга хэмжээний хэрэгжилт</w:t>
            </w:r>
          </w:p>
        </w:tc>
        <w:tc>
          <w:tcPr>
            <w:tcW w:w="993" w:type="dxa"/>
          </w:tcPr>
          <w:p w14:paraId="0EDE8F01" w14:textId="56FFB2BC"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77CFADF3" w14:textId="2A78B83B" w:rsidR="005933D6" w:rsidRPr="00B1556D" w:rsidRDefault="005933D6" w:rsidP="005933D6">
            <w:pPr>
              <w:jc w:val="both"/>
              <w:rPr>
                <w:rFonts w:ascii="Times New Roman" w:hAnsi="Times New Roman" w:cs="Times New Roman"/>
              </w:rPr>
            </w:pPr>
            <w:r w:rsidRPr="00B1556D">
              <w:rPr>
                <w:rFonts w:ascii="Times New Roman" w:hAnsi="Times New Roman" w:cs="Times New Roman"/>
              </w:rPr>
              <w:t>100%</w:t>
            </w:r>
          </w:p>
        </w:tc>
        <w:tc>
          <w:tcPr>
            <w:tcW w:w="993" w:type="dxa"/>
          </w:tcPr>
          <w:p w14:paraId="5FF24172" w14:textId="67725B8B" w:rsidR="005933D6" w:rsidRPr="00B1556D" w:rsidRDefault="005933D6" w:rsidP="005933D6">
            <w:pPr>
              <w:jc w:val="both"/>
              <w:rPr>
                <w:rFonts w:ascii="Times New Roman" w:hAnsi="Times New Roman" w:cs="Times New Roman"/>
                <w:lang w:val="mn-MN"/>
              </w:rPr>
            </w:pPr>
            <w:r w:rsidRPr="00B1556D">
              <w:rPr>
                <w:rFonts w:ascii="Times New Roman" w:hAnsi="Times New Roman" w:cs="Times New Roman"/>
              </w:rPr>
              <w:t>Улсын төсөв</w:t>
            </w:r>
          </w:p>
        </w:tc>
        <w:tc>
          <w:tcPr>
            <w:tcW w:w="2976" w:type="dxa"/>
          </w:tcPr>
          <w:p w14:paraId="165DC049" w14:textId="111DDA0D" w:rsidR="00FF20DE" w:rsidRPr="00B1556D" w:rsidRDefault="00FF20DE" w:rsidP="00FF20DE">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чиглэлээр:</w:t>
            </w:r>
          </w:p>
          <w:p w14:paraId="34ED6360" w14:textId="6ABF9DA1" w:rsidR="00FF20DE" w:rsidRPr="00B1556D" w:rsidRDefault="00FF20DE" w:rsidP="00ED4CA4">
            <w:pPr>
              <w:jc w:val="both"/>
              <w:rPr>
                <w:rFonts w:ascii="Times New Roman" w:hAnsi="Times New Roman" w:cs="Times New Roman"/>
                <w:lang w:val="mn-MN"/>
              </w:rPr>
            </w:pPr>
            <w:r w:rsidRPr="00B1556D">
              <w:rPr>
                <w:rFonts w:ascii="Times New Roman" w:hAnsi="Times New Roman" w:cs="Times New Roman"/>
                <w:lang w:val="mn-MN"/>
              </w:rPr>
              <w:t>С</w:t>
            </w:r>
            <w:r w:rsidR="008155F9" w:rsidRPr="00B1556D">
              <w:rPr>
                <w:rFonts w:ascii="Times New Roman" w:hAnsi="Times New Roman" w:cs="Times New Roman"/>
                <w:lang w:val="mn-MN"/>
              </w:rPr>
              <w:t>ангүүгйин зохицуулах хорооноос</w:t>
            </w:r>
            <w:r w:rsidRPr="00B1556D">
              <w:rPr>
                <w:rFonts w:ascii="Times New Roman" w:hAnsi="Times New Roman" w:cs="Times New Roman"/>
                <w:lang w:val="mn-MN"/>
              </w:rPr>
              <w:t xml:space="preserve"> 2022 оны I улирлаас эхлэн “Монгол Улсын Ногоон таксономи”-ийн үндсэн ангиллын дагуу ББСБ-уудаас “Ногоон зээлийн тайлан”-г авч эхэлсэн. Тайлант хугацаанд 37 ББСБ 10,398 зээлдэгчид 122.5 тэрбум төгрөгийн зээлийг дунджаар 2.8 хувийн хүүтэйгээр олгож, 42 ББСБ-ын 9,207 </w:t>
            </w:r>
            <w:r w:rsidRPr="00B1556D">
              <w:rPr>
                <w:rFonts w:ascii="Times New Roman" w:hAnsi="Times New Roman" w:cs="Times New Roman"/>
                <w:lang w:val="mn-MN"/>
              </w:rPr>
              <w:lastRenderedPageBreak/>
              <w:t>зээлдэгчээс 75.4 тэрбум төгрөгийн зээл эргэн төлөгдөж, 2025 оны III улирлын байдлаар 42 ББСБ 13,124 зээлдэгчийн 154.0 тэрбум төгрөгийн “ногоон” зээлийн үлдэгдэлтэй гарсан.</w:t>
            </w:r>
          </w:p>
          <w:p w14:paraId="120A24A8" w14:textId="3B9837C5" w:rsidR="006A07FA" w:rsidRPr="00B1556D" w:rsidRDefault="006A07FA" w:rsidP="006A07FA">
            <w:pPr>
              <w:jc w:val="both"/>
              <w:rPr>
                <w:rFonts w:ascii="Times New Roman" w:hAnsi="Times New Roman" w:cs="Times New Roman"/>
                <w:b/>
                <w:bCs/>
                <w:lang w:val="mn-MN"/>
              </w:rPr>
            </w:pPr>
            <w:r w:rsidRPr="00B1556D">
              <w:rPr>
                <w:rFonts w:ascii="Times New Roman" w:hAnsi="Times New Roman" w:cs="Times New Roman"/>
                <w:b/>
                <w:bCs/>
                <w:lang w:val="mn-MN"/>
              </w:rPr>
              <w:t>Хадгаламж зээлийн хоршоон</w:t>
            </w:r>
            <w:r w:rsidR="005F5CDA" w:rsidRPr="00B1556D">
              <w:rPr>
                <w:rFonts w:ascii="Times New Roman" w:hAnsi="Times New Roman" w:cs="Times New Roman"/>
                <w:b/>
                <w:bCs/>
                <w:lang w:val="mn-MN"/>
              </w:rPr>
              <w:t>ы</w:t>
            </w:r>
            <w:r w:rsidRPr="00B1556D">
              <w:rPr>
                <w:rFonts w:ascii="Times New Roman" w:hAnsi="Times New Roman" w:cs="Times New Roman"/>
                <w:b/>
                <w:bCs/>
                <w:lang w:val="mn-MN"/>
              </w:rPr>
              <w:t xml:space="preserve"> газрын чиглэлээр:</w:t>
            </w:r>
          </w:p>
          <w:p w14:paraId="76BFD77E" w14:textId="447BF7F3" w:rsidR="006A07FA" w:rsidRPr="00B1556D" w:rsidRDefault="006A07FA" w:rsidP="006A07FA">
            <w:pPr>
              <w:jc w:val="both"/>
              <w:rPr>
                <w:rFonts w:ascii="Times New Roman" w:hAnsi="Times New Roman" w:cs="Times New Roman"/>
                <w:lang w:val="mn-MN"/>
              </w:rPr>
            </w:pPr>
            <w:r w:rsidRPr="00B1556D">
              <w:rPr>
                <w:rFonts w:ascii="Times New Roman" w:eastAsia="Times New Roman" w:hAnsi="Times New Roman" w:cs="Times New Roman"/>
                <w:lang w:val="mn-MN"/>
              </w:rPr>
              <w:t>Байгалийн нөөцийн хамтын менежментийн нөхөрлөлүүд болон ХЗХ-дын хамтын ажиллагааг орон нутагт дэмжиж ажиллаж байна. Энэхүү хамтын ажиллагаа нь иргэдийн санхүүгийн хүртээмжийг нэмэгдүүлж, байгалиа хамгаалж, тогтвортой ногоон санхүүг дэмжсэн хөгжлийн жишээ болж байна. Үр дүнг хуваалцаж, туршлага солилцох форумыг зохион байгуулсан.</w:t>
            </w:r>
            <w:r w:rsidRPr="00B1556D">
              <w:rPr>
                <w:rFonts w:ascii="Times New Roman" w:hAnsi="Times New Roman" w:cs="Times New Roman"/>
                <w:lang w:val="mn-MN"/>
              </w:rPr>
              <w:t xml:space="preserve"> Х</w:t>
            </w:r>
            <w:r w:rsidR="008155F9" w:rsidRPr="00B1556D">
              <w:rPr>
                <w:rFonts w:ascii="Times New Roman" w:hAnsi="Times New Roman" w:cs="Times New Roman"/>
                <w:lang w:val="mn-MN"/>
              </w:rPr>
              <w:t>орооноос</w:t>
            </w:r>
            <w:r w:rsidRPr="00B1556D">
              <w:rPr>
                <w:rFonts w:ascii="Times New Roman" w:hAnsi="Times New Roman" w:cs="Times New Roman"/>
                <w:lang w:val="mn-MN"/>
              </w:rPr>
              <w:t xml:space="preserve"> болон Дэ нэйче консерванси байгууллага хооронд байгуулах харилцан ойлголцлын санамж бичгийн төслийг боловсруулж, гарын үсэг зурахаар ажиллаж байна. </w:t>
            </w:r>
          </w:p>
          <w:p w14:paraId="519CF27D" w14:textId="38BAFC61" w:rsidR="006A07FA" w:rsidRPr="00B1556D" w:rsidRDefault="006A07FA" w:rsidP="006A07FA">
            <w:pPr>
              <w:jc w:val="both"/>
              <w:rPr>
                <w:rFonts w:ascii="Times New Roman" w:hAnsi="Times New Roman" w:cs="Times New Roman"/>
              </w:rPr>
            </w:pPr>
            <w:r w:rsidRPr="00B1556D">
              <w:rPr>
                <w:rFonts w:ascii="Times New Roman" w:hAnsi="Times New Roman" w:cs="Times New Roman"/>
                <w:lang w:val="mn-MN"/>
              </w:rPr>
              <w:lastRenderedPageBreak/>
              <w:t xml:space="preserve">Санхүүгийн хүртээмжийн нийгэмлэг (AFI)-тэй хамтран </w:t>
            </w:r>
            <w:r w:rsidRPr="00B1556D">
              <w:rPr>
                <w:rFonts w:ascii="Times New Roman" w:hAnsi="Times New Roman" w:cs="Times New Roman"/>
                <w:lang w:val="mn-MN" w:eastAsia="zh-CN"/>
              </w:rPr>
              <w:t>“ХЗХ-дын гишүүн БЖДҮ эрхлэгч эмэгтэйчүүдэд зориулсан хүртээмжтэй ногоон санхүүжилт”</w:t>
            </w:r>
            <w:r w:rsidRPr="00B1556D">
              <w:rPr>
                <w:rFonts w:ascii="Times New Roman" w:hAnsi="Times New Roman" w:cs="Times New Roman"/>
                <w:lang w:val="mn-MN"/>
              </w:rPr>
              <w:t xml:space="preserve"> төслийг 2025-2026 онуудад хэрэгжүүлэхээр ажиллаж байна. Төслөөр БЖДҮ эрхлэгчдэд тохирсон ногоон санхүүгийн бүтээгдэхүүн, үйлчилгээг ХЗХ-дод бий болгох, ногоон санхүүжилтийн талаарх мэдлэгийг дээшлүүлэх, ногоон санхүүжилтийн санаачилгыг дэмжсэн бодлого, зохицуулалтын орчныг бэхжүүлэхээр зорьж байна. 2025 онд тус төсөлд хамрагдахад бэлэн байдлыг үнэлэх суурь судалгааг хийж гүйцэтгээд байна.</w:t>
            </w:r>
          </w:p>
        </w:tc>
        <w:tc>
          <w:tcPr>
            <w:tcW w:w="709" w:type="dxa"/>
          </w:tcPr>
          <w:p w14:paraId="6EDAF34D" w14:textId="3044A221" w:rsidR="005933D6" w:rsidRPr="00B1556D" w:rsidRDefault="00747C78" w:rsidP="005933D6">
            <w:pPr>
              <w:jc w:val="both"/>
              <w:rPr>
                <w:rFonts w:ascii="Times New Roman" w:hAnsi="Times New Roman" w:cs="Times New Roman"/>
              </w:rPr>
            </w:pPr>
            <w:r w:rsidRPr="00B1556D">
              <w:rPr>
                <w:rFonts w:ascii="Times New Roman" w:hAnsi="Times New Roman" w:cs="Times New Roman"/>
              </w:rPr>
              <w:lastRenderedPageBreak/>
              <w:t>85</w:t>
            </w:r>
          </w:p>
        </w:tc>
      </w:tr>
      <w:tr w:rsidR="00B1556D" w:rsidRPr="00B1556D" w14:paraId="1E43186E" w14:textId="77777777" w:rsidTr="00B1556D">
        <w:tc>
          <w:tcPr>
            <w:tcW w:w="3402" w:type="dxa"/>
            <w:gridSpan w:val="2"/>
          </w:tcPr>
          <w:p w14:paraId="6883E164" w14:textId="264B6B6A" w:rsidR="00014461" w:rsidRPr="00B1556D" w:rsidRDefault="00F11F6A" w:rsidP="005933D6">
            <w:pPr>
              <w:jc w:val="both"/>
              <w:rPr>
                <w:rFonts w:ascii="Times New Roman" w:hAnsi="Times New Roman" w:cs="Times New Roman"/>
                <w:b/>
                <w:bCs/>
                <w:u w:val="single"/>
              </w:rPr>
            </w:pPr>
            <w:r>
              <w:rPr>
                <w:rFonts w:ascii="Times New Roman" w:hAnsi="Times New Roman" w:cs="Times New Roman"/>
                <w:b/>
                <w:bCs/>
                <w:u w:val="single"/>
                <w:lang w:val="mn-MN"/>
              </w:rPr>
              <w:lastRenderedPageBreak/>
              <w:t>Хэсгийн дундаж</w:t>
            </w:r>
          </w:p>
        </w:tc>
        <w:tc>
          <w:tcPr>
            <w:tcW w:w="1134" w:type="dxa"/>
          </w:tcPr>
          <w:p w14:paraId="266AB017" w14:textId="77777777" w:rsidR="00014461" w:rsidRPr="00B1556D" w:rsidRDefault="00014461" w:rsidP="005933D6">
            <w:pPr>
              <w:jc w:val="both"/>
              <w:rPr>
                <w:rFonts w:ascii="Times New Roman" w:hAnsi="Times New Roman" w:cs="Times New Roman"/>
              </w:rPr>
            </w:pPr>
          </w:p>
        </w:tc>
        <w:tc>
          <w:tcPr>
            <w:tcW w:w="1985" w:type="dxa"/>
          </w:tcPr>
          <w:p w14:paraId="65F2385F" w14:textId="77777777" w:rsidR="00014461" w:rsidRPr="00B1556D" w:rsidRDefault="00014461" w:rsidP="005933D6">
            <w:pPr>
              <w:pStyle w:val="NormalWeb"/>
              <w:spacing w:after="0"/>
              <w:jc w:val="both"/>
            </w:pPr>
          </w:p>
        </w:tc>
        <w:tc>
          <w:tcPr>
            <w:tcW w:w="1417" w:type="dxa"/>
          </w:tcPr>
          <w:p w14:paraId="1869826F" w14:textId="77777777" w:rsidR="00014461" w:rsidRPr="00B1556D" w:rsidRDefault="00014461" w:rsidP="005933D6">
            <w:pPr>
              <w:jc w:val="both"/>
              <w:rPr>
                <w:rFonts w:ascii="Times New Roman" w:hAnsi="Times New Roman" w:cs="Times New Roman"/>
              </w:rPr>
            </w:pPr>
          </w:p>
        </w:tc>
        <w:tc>
          <w:tcPr>
            <w:tcW w:w="993" w:type="dxa"/>
          </w:tcPr>
          <w:p w14:paraId="22BDA1B6" w14:textId="77777777" w:rsidR="00014461" w:rsidRPr="00B1556D" w:rsidRDefault="00014461" w:rsidP="005933D6">
            <w:pPr>
              <w:jc w:val="center"/>
              <w:rPr>
                <w:rFonts w:ascii="Times New Roman" w:hAnsi="Times New Roman" w:cs="Times New Roman"/>
              </w:rPr>
            </w:pPr>
          </w:p>
        </w:tc>
        <w:tc>
          <w:tcPr>
            <w:tcW w:w="1275" w:type="dxa"/>
          </w:tcPr>
          <w:p w14:paraId="5FF17E3C" w14:textId="77777777" w:rsidR="00014461" w:rsidRPr="00B1556D" w:rsidRDefault="00014461" w:rsidP="005933D6">
            <w:pPr>
              <w:jc w:val="both"/>
              <w:rPr>
                <w:rFonts w:ascii="Times New Roman" w:hAnsi="Times New Roman" w:cs="Times New Roman"/>
              </w:rPr>
            </w:pPr>
          </w:p>
        </w:tc>
        <w:tc>
          <w:tcPr>
            <w:tcW w:w="993" w:type="dxa"/>
          </w:tcPr>
          <w:p w14:paraId="4E84A9B3" w14:textId="77777777" w:rsidR="00014461" w:rsidRPr="00B1556D" w:rsidRDefault="00014461" w:rsidP="005933D6">
            <w:pPr>
              <w:jc w:val="both"/>
              <w:rPr>
                <w:rFonts w:ascii="Times New Roman" w:hAnsi="Times New Roman" w:cs="Times New Roman"/>
              </w:rPr>
            </w:pPr>
          </w:p>
        </w:tc>
        <w:tc>
          <w:tcPr>
            <w:tcW w:w="2976" w:type="dxa"/>
          </w:tcPr>
          <w:p w14:paraId="526F1310" w14:textId="77777777" w:rsidR="00014461" w:rsidRPr="00B1556D" w:rsidRDefault="00014461" w:rsidP="00FF20DE">
            <w:pPr>
              <w:jc w:val="both"/>
              <w:rPr>
                <w:rFonts w:ascii="Times New Roman" w:hAnsi="Times New Roman" w:cs="Times New Roman"/>
                <w:b/>
                <w:bCs/>
              </w:rPr>
            </w:pPr>
          </w:p>
        </w:tc>
        <w:tc>
          <w:tcPr>
            <w:tcW w:w="709" w:type="dxa"/>
          </w:tcPr>
          <w:p w14:paraId="0A3B4141" w14:textId="751AC2E2" w:rsidR="00014461" w:rsidRPr="00B1556D" w:rsidRDefault="00AA5974" w:rsidP="00AA5974">
            <w:pPr>
              <w:jc w:val="center"/>
              <w:rPr>
                <w:rFonts w:ascii="Times New Roman" w:hAnsi="Times New Roman" w:cs="Times New Roman"/>
                <w:b/>
                <w:bCs/>
                <w:u w:val="single"/>
              </w:rPr>
            </w:pPr>
            <w:r w:rsidRPr="00B1556D">
              <w:rPr>
                <w:rFonts w:ascii="Times New Roman" w:hAnsi="Times New Roman" w:cs="Times New Roman"/>
                <w:b/>
                <w:bCs/>
                <w:u w:val="single"/>
              </w:rPr>
              <w:t>85</w:t>
            </w:r>
            <w:r w:rsidR="001B3D17" w:rsidRPr="00B1556D">
              <w:rPr>
                <w:rFonts w:ascii="Times New Roman" w:hAnsi="Times New Roman" w:cs="Times New Roman"/>
                <w:b/>
                <w:bCs/>
                <w:u w:val="single"/>
              </w:rPr>
              <w:t>%</w:t>
            </w:r>
          </w:p>
        </w:tc>
      </w:tr>
    </w:tbl>
    <w:p w14:paraId="6E3FA08E" w14:textId="77777777" w:rsidR="004F0753" w:rsidRPr="00B1556D" w:rsidRDefault="004F0753" w:rsidP="00902663">
      <w:pPr>
        <w:rPr>
          <w:rFonts w:ascii="Times New Roman" w:hAnsi="Times New Roman" w:cs="Times New Roman"/>
          <w:lang w:val="mn-MN"/>
        </w:rPr>
      </w:pPr>
    </w:p>
    <w:p w14:paraId="18A6AA3F" w14:textId="77777777" w:rsidR="00365BCB" w:rsidRPr="00B1556D" w:rsidRDefault="00365BCB" w:rsidP="00902663">
      <w:pPr>
        <w:rPr>
          <w:rFonts w:ascii="Times New Roman" w:hAnsi="Times New Roman" w:cs="Times New Roman"/>
          <w:lang w:val="mn-MN"/>
        </w:rPr>
      </w:pPr>
    </w:p>
    <w:p w14:paraId="5AEB1A35" w14:textId="77777777" w:rsidR="00B1556D" w:rsidRDefault="00B1556D" w:rsidP="00902663">
      <w:pPr>
        <w:jc w:val="right"/>
        <w:rPr>
          <w:rFonts w:ascii="Times New Roman" w:hAnsi="Times New Roman" w:cs="Times New Roman"/>
          <w:lang w:val="mn-MN"/>
        </w:rPr>
      </w:pPr>
    </w:p>
    <w:p w14:paraId="6210D8D2" w14:textId="77777777" w:rsidR="00B1556D" w:rsidRDefault="00B1556D" w:rsidP="00902663">
      <w:pPr>
        <w:jc w:val="right"/>
        <w:rPr>
          <w:rFonts w:ascii="Times New Roman" w:hAnsi="Times New Roman" w:cs="Times New Roman"/>
          <w:lang w:val="mn-MN"/>
        </w:rPr>
      </w:pPr>
    </w:p>
    <w:p w14:paraId="4525F1D5" w14:textId="5D304E7F" w:rsidR="001D6B0C" w:rsidRPr="00B1556D" w:rsidRDefault="001D6B0C" w:rsidP="00902663">
      <w:pPr>
        <w:jc w:val="right"/>
        <w:rPr>
          <w:rFonts w:ascii="Times New Roman" w:hAnsi="Times New Roman" w:cs="Times New Roman"/>
          <w:lang w:val="mn-MN"/>
        </w:rPr>
      </w:pPr>
    </w:p>
    <w:p w14:paraId="26E5869D" w14:textId="1566F1A5" w:rsidR="001D6B0C" w:rsidRPr="00B1556D" w:rsidRDefault="001D6B0C" w:rsidP="001D6B0C">
      <w:pPr>
        <w:spacing w:after="0"/>
        <w:jc w:val="center"/>
        <w:rPr>
          <w:rFonts w:ascii="Times New Roman" w:hAnsi="Times New Roman" w:cs="Times New Roman"/>
          <w:b/>
          <w:bCs/>
        </w:rPr>
      </w:pPr>
      <w:r w:rsidRPr="00B1556D">
        <w:rPr>
          <w:rFonts w:ascii="Times New Roman" w:hAnsi="Times New Roman" w:cs="Times New Roman"/>
          <w:b/>
          <w:bCs/>
        </w:rPr>
        <w:t xml:space="preserve">МОНГОЛ УЛСЫН ХӨГЖЛИЙН 2025 ОНЫ ТӨЛӨВЛӨГӨӨНИЙ </w:t>
      </w:r>
    </w:p>
    <w:p w14:paraId="30AB5D70" w14:textId="77777777" w:rsidR="001D6B0C" w:rsidRPr="00B1556D" w:rsidRDefault="001D6B0C" w:rsidP="001D6B0C">
      <w:pPr>
        <w:spacing w:after="0" w:line="240" w:lineRule="auto"/>
        <w:jc w:val="center"/>
        <w:rPr>
          <w:rFonts w:ascii="Times New Roman" w:hAnsi="Times New Roman" w:cs="Times New Roman"/>
          <w:b/>
          <w:bCs/>
        </w:rPr>
      </w:pPr>
      <w:r w:rsidRPr="00B1556D">
        <w:rPr>
          <w:rFonts w:ascii="Times New Roman" w:hAnsi="Times New Roman" w:cs="Times New Roman"/>
          <w:b/>
          <w:bCs/>
        </w:rPr>
        <w:t xml:space="preserve"> 2025 ОНЫ ЖИЛИЙН ЭЦСИЙН ТАЙЛАН  </w:t>
      </w:r>
    </w:p>
    <w:p w14:paraId="4E69F2C7" w14:textId="10177A9A" w:rsidR="001D6B0C" w:rsidRPr="00B1556D" w:rsidRDefault="001D6B0C" w:rsidP="001D6B0C">
      <w:pPr>
        <w:spacing w:after="0" w:line="240" w:lineRule="auto"/>
        <w:jc w:val="center"/>
        <w:rPr>
          <w:rFonts w:ascii="Times New Roman" w:hAnsi="Times New Roman" w:cs="Times New Roman"/>
          <w:b/>
          <w:bCs/>
        </w:rPr>
      </w:pPr>
      <w:r w:rsidRPr="00B1556D">
        <w:rPr>
          <w:rFonts w:ascii="Times New Roman" w:hAnsi="Times New Roman" w:cs="Times New Roman"/>
          <w:b/>
          <w:bCs/>
        </w:rPr>
        <w:t>/ТЭРГҮҮЛЭХ ЧИГЛЭЛ/</w:t>
      </w:r>
    </w:p>
    <w:p w14:paraId="434C9FBC" w14:textId="77777777" w:rsidR="001D6B0C" w:rsidRPr="00B1556D" w:rsidRDefault="001D6B0C" w:rsidP="001D6B0C">
      <w:pPr>
        <w:spacing w:after="0" w:line="240" w:lineRule="auto"/>
        <w:jc w:val="center"/>
        <w:rPr>
          <w:rFonts w:ascii="Times New Roman" w:hAnsi="Times New Roman" w:cs="Times New Roman"/>
          <w:b/>
          <w:bCs/>
        </w:rPr>
      </w:pPr>
    </w:p>
    <w:p w14:paraId="576A39E4" w14:textId="6BB0D4AB" w:rsidR="001D6B0C" w:rsidRPr="00B1556D" w:rsidRDefault="001D6B0C" w:rsidP="006958D0">
      <w:pPr>
        <w:jc w:val="center"/>
        <w:rPr>
          <w:rFonts w:ascii="Times New Roman" w:hAnsi="Times New Roman" w:cs="Times New Roman"/>
        </w:rPr>
      </w:pPr>
      <w:r w:rsidRPr="00B1556D">
        <w:rPr>
          <w:rFonts w:ascii="Times New Roman" w:hAnsi="Times New Roman" w:cs="Times New Roman"/>
        </w:rPr>
        <w:t>/САНХҮҮГИЙН ЗОХИЦУУЛАХ ХОРОО /</w:t>
      </w:r>
    </w:p>
    <w:tbl>
      <w:tblPr>
        <w:tblStyle w:val="TableGrid"/>
        <w:tblW w:w="13745" w:type="dxa"/>
        <w:tblLook w:val="04A0" w:firstRow="1" w:lastRow="0" w:firstColumn="1" w:lastColumn="0" w:noHBand="0" w:noVBand="1"/>
      </w:tblPr>
      <w:tblGrid>
        <w:gridCol w:w="421"/>
        <w:gridCol w:w="996"/>
        <w:gridCol w:w="3965"/>
        <w:gridCol w:w="7471"/>
        <w:gridCol w:w="16"/>
        <w:gridCol w:w="876"/>
      </w:tblGrid>
      <w:tr w:rsidR="00B1556D" w:rsidRPr="00B1556D" w14:paraId="64D899F0" w14:textId="77777777" w:rsidTr="00B1556D">
        <w:tc>
          <w:tcPr>
            <w:tcW w:w="421" w:type="dxa"/>
          </w:tcPr>
          <w:p w14:paraId="7A5372AB" w14:textId="26A39E4B" w:rsidR="001D6B0C" w:rsidRPr="00B1556D" w:rsidRDefault="001D6B0C" w:rsidP="005017FC">
            <w:pPr>
              <w:jc w:val="both"/>
              <w:rPr>
                <w:rFonts w:ascii="Times New Roman" w:hAnsi="Times New Roman" w:cs="Times New Roman"/>
                <w:b/>
                <w:bCs/>
                <w:sz w:val="20"/>
                <w:szCs w:val="20"/>
              </w:rPr>
            </w:pPr>
            <w:r w:rsidRPr="00B1556D">
              <w:rPr>
                <w:rFonts w:ascii="Times New Roman" w:hAnsi="Times New Roman" w:cs="Times New Roman"/>
                <w:b/>
                <w:bCs/>
                <w:sz w:val="20"/>
                <w:szCs w:val="20"/>
              </w:rPr>
              <w:t>№</w:t>
            </w:r>
          </w:p>
        </w:tc>
        <w:tc>
          <w:tcPr>
            <w:tcW w:w="996" w:type="dxa"/>
          </w:tcPr>
          <w:p w14:paraId="6E62FFFB" w14:textId="3ED736E5" w:rsidR="001D6B0C" w:rsidRPr="00B1556D" w:rsidRDefault="001D6B0C"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Зүйл заалтын дугаар</w:t>
            </w:r>
          </w:p>
        </w:tc>
        <w:tc>
          <w:tcPr>
            <w:tcW w:w="3965" w:type="dxa"/>
            <w:vAlign w:val="center"/>
          </w:tcPr>
          <w:p w14:paraId="670335BE" w14:textId="0488E21D" w:rsidR="001D6B0C" w:rsidRPr="00B1556D" w:rsidRDefault="001D6B0C"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Зүйл заалтын агуулга</w:t>
            </w:r>
          </w:p>
        </w:tc>
        <w:tc>
          <w:tcPr>
            <w:tcW w:w="7471" w:type="dxa"/>
            <w:vAlign w:val="center"/>
          </w:tcPr>
          <w:p w14:paraId="0131BA14" w14:textId="054EE5EC" w:rsidR="001D6B0C" w:rsidRPr="00B1556D" w:rsidRDefault="001D6B0C"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Хэрэгжилт</w:t>
            </w:r>
          </w:p>
        </w:tc>
        <w:tc>
          <w:tcPr>
            <w:tcW w:w="892" w:type="dxa"/>
            <w:gridSpan w:val="2"/>
            <w:vAlign w:val="center"/>
          </w:tcPr>
          <w:p w14:paraId="3315C2A2" w14:textId="193ADB97" w:rsidR="001D6B0C" w:rsidRPr="00B1556D" w:rsidRDefault="003D305A"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ХШҮ</w:t>
            </w:r>
          </w:p>
        </w:tc>
      </w:tr>
      <w:tr w:rsidR="00B1556D" w:rsidRPr="00B1556D" w14:paraId="154BDA92" w14:textId="77777777" w:rsidTr="009C7A4D">
        <w:tc>
          <w:tcPr>
            <w:tcW w:w="13745" w:type="dxa"/>
            <w:gridSpan w:val="6"/>
          </w:tcPr>
          <w:p w14:paraId="5F99407D" w14:textId="4C7BF1D4" w:rsidR="00341FF3" w:rsidRPr="00B1556D" w:rsidRDefault="00341FF3" w:rsidP="001D6B0C">
            <w:pPr>
              <w:jc w:val="center"/>
              <w:rPr>
                <w:rFonts w:ascii="Times New Roman" w:hAnsi="Times New Roman" w:cs="Times New Roman"/>
              </w:rPr>
            </w:pPr>
            <w:r w:rsidRPr="00B1556D">
              <w:rPr>
                <w:rFonts w:ascii="Times New Roman" w:hAnsi="Times New Roman" w:cs="Times New Roman"/>
                <w:b/>
                <w:bCs/>
                <w:lang w:bidi="mn-Mong-CN"/>
              </w:rPr>
              <w:t>1.3 Банк, хөрөнгийн зах зээлийн реформ хэрэгжүүлэх хүрээнд:</w:t>
            </w:r>
          </w:p>
        </w:tc>
      </w:tr>
      <w:tr w:rsidR="00B1556D" w:rsidRPr="00B1556D" w14:paraId="66C41E83" w14:textId="77777777" w:rsidTr="00B1556D">
        <w:tc>
          <w:tcPr>
            <w:tcW w:w="421" w:type="dxa"/>
          </w:tcPr>
          <w:p w14:paraId="6CF31A7F" w14:textId="56AC3ED6" w:rsidR="00341FF3" w:rsidRPr="00B1556D" w:rsidRDefault="00341FF3" w:rsidP="00341FF3">
            <w:pPr>
              <w:jc w:val="both"/>
              <w:rPr>
                <w:rFonts w:ascii="Times New Roman" w:hAnsi="Times New Roman" w:cs="Times New Roman"/>
              </w:rPr>
            </w:pPr>
            <w:r w:rsidRPr="00B1556D">
              <w:rPr>
                <w:rFonts w:ascii="Times New Roman" w:hAnsi="Times New Roman" w:cs="Times New Roman"/>
              </w:rPr>
              <w:t>1</w:t>
            </w:r>
          </w:p>
        </w:tc>
        <w:tc>
          <w:tcPr>
            <w:tcW w:w="996" w:type="dxa"/>
          </w:tcPr>
          <w:p w14:paraId="454C7E29" w14:textId="3056B98B"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1.3.3.1</w:t>
            </w:r>
          </w:p>
        </w:tc>
        <w:tc>
          <w:tcPr>
            <w:tcW w:w="3965" w:type="dxa"/>
          </w:tcPr>
          <w:p w14:paraId="2290C6D5" w14:textId="059646C9"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Санхүү, даатгал, хөрөнгийн зах зээлийн хууль, эрх зүйн орчныг олон улсын жишигт нийцүүлэн шинэчилж, реформыг хэрэгжүүлнэ.</w:t>
            </w:r>
          </w:p>
        </w:tc>
        <w:tc>
          <w:tcPr>
            <w:tcW w:w="7487" w:type="dxa"/>
            <w:gridSpan w:val="2"/>
          </w:tcPr>
          <w:p w14:paraId="7CD1387C" w14:textId="3FE57903" w:rsidR="00C80019" w:rsidRPr="00B1556D" w:rsidRDefault="00C80019" w:rsidP="00341FF3">
            <w:pPr>
              <w:jc w:val="both"/>
              <w:rPr>
                <w:rFonts w:ascii="Times New Roman" w:hAnsi="Times New Roman" w:cs="Times New Roman"/>
                <w:b/>
                <w:bCs/>
                <w:lang w:val="mn-MN"/>
              </w:rPr>
            </w:pPr>
            <w:r w:rsidRPr="00B1556D">
              <w:rPr>
                <w:rFonts w:ascii="Times New Roman" w:hAnsi="Times New Roman" w:cs="Times New Roman"/>
                <w:b/>
                <w:bCs/>
                <w:lang w:val="mn-MN"/>
              </w:rPr>
              <w:t>Үнэт цаасны газрын хүрээнд:</w:t>
            </w:r>
          </w:p>
          <w:p w14:paraId="41D73B46" w14:textId="594D70B0" w:rsidR="00C80019" w:rsidRPr="00B1556D" w:rsidRDefault="00C80019" w:rsidP="00C80019">
            <w:pPr>
              <w:jc w:val="both"/>
              <w:rPr>
                <w:rFonts w:ascii="Times New Roman" w:hAnsi="Times New Roman" w:cs="Times New Roman"/>
              </w:rPr>
            </w:pPr>
            <w:r w:rsidRPr="00B1556D">
              <w:rPr>
                <w:rFonts w:ascii="Times New Roman" w:hAnsi="Times New Roman" w:cs="Times New Roman"/>
              </w:rPr>
              <w:t xml:space="preserve">Улсын Их Хурлын Эдийн Засгийн Байнгын хорооны 2024 оны 01 дүгээр сарын 15-ны өдрийн 2 дугаар тогтоолоор Үнэт цаасны зах зээлийн тухай хууль нэмэлт, өөрчлөлт оруулах тухай хуулийн төсөл болон хамт өргөн мэдүүлсэн хуулийг нэгдсэн хуралдаанаар хэлэлцүүлэх бэлтгэл хангах, санал, дүгнэлтийн төсөл боловсруулах үүрэг бүхий ажлын хэсэг байгуулагдаж, уг ажлын хэсэгт мэргэжил арга зүйн туслалцаа үзүүлэх ажлын дэд хэсгийн бүрэлдэхүүнд Санхүүгийн зохицуулах хорооны төлөөлөл орж ажилласан бөгөөд хуулийн төслийн анхны хэлэлцүүлгийг Улсын Их Хурлын чуулганы 2024 оны 03 дугаар сарын 28-ны өдрийн нэгдсэн хуралдаанаар явуулсан.  </w:t>
            </w:r>
            <w:r w:rsidR="008155F9" w:rsidRPr="00B1556D">
              <w:rPr>
                <w:rFonts w:ascii="Times New Roman" w:hAnsi="Times New Roman" w:cs="Times New Roman"/>
              </w:rPr>
              <w:t>Э</w:t>
            </w:r>
            <w:r w:rsidRPr="00B1556D">
              <w:rPr>
                <w:rFonts w:ascii="Times New Roman" w:hAnsi="Times New Roman" w:cs="Times New Roman"/>
              </w:rPr>
              <w:t>цсийн найруулгыг 2024 оны 04 дүгээр сарын 04-ний өдрийн УИХ-ын чуулганы нэгдсэн хуралдаанаар УИХ-ын гишүүдийн олонх дэмжиж</w:t>
            </w:r>
            <w:r w:rsidR="008155F9" w:rsidRPr="00B1556D">
              <w:rPr>
                <w:rFonts w:ascii="Times New Roman" w:hAnsi="Times New Roman" w:cs="Times New Roman"/>
              </w:rPr>
              <w:t>,</w:t>
            </w:r>
            <w:r w:rsidRPr="00B1556D">
              <w:rPr>
                <w:rFonts w:ascii="Times New Roman" w:hAnsi="Times New Roman" w:cs="Times New Roman"/>
              </w:rPr>
              <w:t xml:space="preserve"> Үнэт цаасны зах зээлийн тухай хуульд нэмэлт, өөрчлөлт оруулах тухай болон хамт өргөн мэдүүлсэн хуулийн төслүүдийг эцэслэн батлах бэлтгэлийг хангуулахаар Эдийн засгийн байнгын хороонд шилжүүлсэн УИХ-аас Үнэт цаасны зах зээлийн тухай хуульд нэмэлт, өөрчлөлт оруулах тухай хууль болон хамт өргөн мэдүүлсэн хуулийг 2024 оны 05 дугаар сарын 16-ны өдөр эцэслэн баталсан.</w:t>
            </w:r>
          </w:p>
          <w:p w14:paraId="19ADF012" w14:textId="775D1D97" w:rsidR="00341FF3" w:rsidRPr="00B1556D" w:rsidRDefault="00341FF3" w:rsidP="00341FF3">
            <w:pPr>
              <w:jc w:val="both"/>
              <w:rPr>
                <w:rFonts w:ascii="Times New Roman" w:hAnsi="Times New Roman" w:cs="Times New Roman"/>
                <w:b/>
                <w:bCs/>
                <w:lang w:val="mn-MN"/>
              </w:rPr>
            </w:pPr>
            <w:r w:rsidRPr="00B1556D">
              <w:rPr>
                <w:rFonts w:ascii="Times New Roman" w:hAnsi="Times New Roman" w:cs="Times New Roman"/>
                <w:b/>
                <w:bCs/>
                <w:lang w:val="mn-MN"/>
              </w:rPr>
              <w:t>Даатгалын газрын хүрээнд:</w:t>
            </w:r>
            <w:r w:rsidR="00E74126" w:rsidRPr="00B1556D">
              <w:rPr>
                <w:rFonts w:ascii="Times New Roman" w:hAnsi="Times New Roman" w:cs="Times New Roman"/>
                <w:b/>
                <w:bCs/>
                <w:lang w:val="mn-MN"/>
              </w:rPr>
              <w:t xml:space="preserve"> </w:t>
            </w:r>
          </w:p>
          <w:p w14:paraId="6E0E16C9" w14:textId="09795DDB" w:rsidR="00341FF3" w:rsidRPr="00B1556D" w:rsidRDefault="00341FF3" w:rsidP="00341FF3">
            <w:pPr>
              <w:jc w:val="both"/>
              <w:rPr>
                <w:rFonts w:ascii="Times New Roman" w:hAnsi="Times New Roman" w:cs="Times New Roman"/>
                <w:lang w:val="mn-MN"/>
              </w:rPr>
            </w:pPr>
            <w:r w:rsidRPr="00B1556D">
              <w:rPr>
                <w:rFonts w:ascii="Times New Roman" w:hAnsi="Times New Roman" w:cs="Times New Roman"/>
                <w:lang w:val="mn-MN"/>
              </w:rPr>
              <w:t xml:space="preserve">Даатгалын багц хууль буюу Даатгалын тухай, Даатгалын зуучлалын тухай болон Жолоочийн даатгалын тухай хуулиудын шинэчилсэн </w:t>
            </w:r>
            <w:r w:rsidRPr="00B1556D">
              <w:rPr>
                <w:rFonts w:ascii="Times New Roman" w:hAnsi="Times New Roman" w:cs="Times New Roman"/>
                <w:lang w:val="mn-MN"/>
              </w:rPr>
              <w:lastRenderedPageBreak/>
              <w:t>найруулгын төслийг эцэслэн боловсруулж, Засгийн газрын хуралдаанд танилцуулах чиглэлээр Сангийн яамтай тухай бүр хамтран ажиллаж байна. Үүнд:  </w:t>
            </w:r>
          </w:p>
          <w:p w14:paraId="2D8D1A27" w14:textId="77777777" w:rsidR="00341FF3" w:rsidRPr="00B1556D" w:rsidRDefault="00341FF3" w:rsidP="00341FF3">
            <w:pPr>
              <w:jc w:val="both"/>
              <w:rPr>
                <w:rFonts w:ascii="Times New Roman" w:hAnsi="Times New Roman" w:cs="Times New Roman"/>
                <w:lang w:val="mn-MN"/>
              </w:rPr>
            </w:pPr>
            <w:r w:rsidRPr="00B1556D">
              <w:rPr>
                <w:rFonts w:ascii="Times New Roman" w:hAnsi="Times New Roman" w:cs="Times New Roman"/>
                <w:lang w:val="mn-MN"/>
              </w:rPr>
              <w:t>Даатгалын тухай, Даатгалын зуучлалын тухай болон Жолоочийн даатгалын тухай хуулиудын шинэчилсэн найруулгын төслийн үзэл баримтлалыг 2024 оны 4 дүгээр сард Сангийн сайд, Хууль зүй, дотоод хэргийн сайд хамтран баталсан. Гэвч Засгийн газрын бүтэц, бүрэлдэхүүн өөрчлөгдсөнтэй холбогдуулан хуулиудын төслийн үзэл баримтлалыг дахин шинэчлэн батлуулах шаардлага үүсээд байгаа бөгөөд төслийг Сангийн яаманд хүргүүлсэн. </w:t>
            </w:r>
          </w:p>
          <w:p w14:paraId="2728AE59" w14:textId="19310AD5" w:rsidR="00341FF3" w:rsidRPr="00B1556D" w:rsidRDefault="00341FF3" w:rsidP="00341FF3">
            <w:pPr>
              <w:jc w:val="both"/>
              <w:rPr>
                <w:rFonts w:ascii="Times New Roman" w:hAnsi="Times New Roman" w:cs="Times New Roman"/>
              </w:rPr>
            </w:pPr>
            <w:r w:rsidRPr="00B1556D">
              <w:rPr>
                <w:rFonts w:ascii="Times New Roman" w:hAnsi="Times New Roman" w:cs="Times New Roman"/>
                <w:lang w:val="mn-MN"/>
              </w:rPr>
              <w:t>Даатгалын багц хуулийн төслийг эцэслэн боловсруулах хүрээнд Сангийн яам болон салбарын оролцогчидтой тухай бүр хамтран ажиллаж байгаа бөгөөд хуулиудын төсөл, тэдгээрийн бүрдэл, холбогдох материалыг эцэслэн боловсруулаад байна. </w:t>
            </w:r>
          </w:p>
        </w:tc>
        <w:tc>
          <w:tcPr>
            <w:tcW w:w="876" w:type="dxa"/>
          </w:tcPr>
          <w:p w14:paraId="7000B8F2" w14:textId="09F16ADA"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95</w:t>
            </w:r>
          </w:p>
        </w:tc>
      </w:tr>
      <w:tr w:rsidR="00B1556D" w:rsidRPr="00B1556D" w14:paraId="06BE1B90" w14:textId="77777777" w:rsidTr="00B1556D">
        <w:tc>
          <w:tcPr>
            <w:tcW w:w="421" w:type="dxa"/>
          </w:tcPr>
          <w:p w14:paraId="0CD37883" w14:textId="28F38896" w:rsidR="00341FF3" w:rsidRPr="00B1556D" w:rsidRDefault="00341FF3" w:rsidP="00341FF3">
            <w:pPr>
              <w:jc w:val="both"/>
              <w:rPr>
                <w:rFonts w:ascii="Times New Roman" w:hAnsi="Times New Roman" w:cs="Times New Roman"/>
              </w:rPr>
            </w:pPr>
            <w:r w:rsidRPr="00B1556D">
              <w:rPr>
                <w:rFonts w:ascii="Times New Roman" w:hAnsi="Times New Roman" w:cs="Times New Roman"/>
              </w:rPr>
              <w:t>2</w:t>
            </w:r>
          </w:p>
        </w:tc>
        <w:tc>
          <w:tcPr>
            <w:tcW w:w="996" w:type="dxa"/>
          </w:tcPr>
          <w:p w14:paraId="27C2E2CD" w14:textId="77DF8513"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1.3.3.5</w:t>
            </w:r>
          </w:p>
        </w:tc>
        <w:tc>
          <w:tcPr>
            <w:tcW w:w="3965" w:type="dxa"/>
          </w:tcPr>
          <w:p w14:paraId="7A83A890" w14:textId="550127DB"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Хөрөнгийн зах зээлд мэргэжлийн оролцогчдын хүрээг тэлэх бодлого хэрэгжүүлж, гадаадын хөрөнгө оруулагчдыг татах татварын таатай орчныг бүрдүүлнэ.</w:t>
            </w:r>
          </w:p>
        </w:tc>
        <w:tc>
          <w:tcPr>
            <w:tcW w:w="7487" w:type="dxa"/>
            <w:gridSpan w:val="2"/>
          </w:tcPr>
          <w:p w14:paraId="2BC5BCE9" w14:textId="77777777" w:rsidR="00C80019" w:rsidRPr="00B1556D" w:rsidRDefault="00C80019" w:rsidP="00C80019">
            <w:pPr>
              <w:pStyle w:val="NormalWeb"/>
              <w:spacing w:before="0" w:beforeAutospacing="0" w:after="0" w:afterAutospacing="0"/>
              <w:jc w:val="both"/>
              <w:rPr>
                <w:rFonts w:eastAsiaTheme="minorEastAsia"/>
              </w:rPr>
            </w:pPr>
            <w:r w:rsidRPr="00B1556D">
              <w:rPr>
                <w:rFonts w:eastAsiaTheme="minorEastAsia"/>
              </w:rPr>
              <w:t xml:space="preserve">Аж ахуйн нэгжийн орлогын албан татварын тухай хууль, Хувь хүний орлогын албан татварын тухай хуульд дотоодын үнэт цаасны анхдагч болон хоёрдогч зах зээлд нээлттэй арилжаалсан өрийн хэрэгсэл /бонд/, хувьцаа, бусад үнэт цаасыг борлуулсны орлогод ногдох албан татварыг цэвэршүүлсэн дүнгээр буюу худалдаж авсан үнэ болон худалдан авахад төлсөн баримтаар нотлогдож байгаа шимтгэлийн дүнг хасаж, тооцсон дүнгээс тооцох зохицуулалтыг  2023 оны 11 дүгээр сарын 10-ны өдрийн хуулиар нэмэлт, өөрчлөлт оруулсан. </w:t>
            </w:r>
          </w:p>
          <w:p w14:paraId="5BED059E" w14:textId="010011C9" w:rsidR="00C80019" w:rsidRPr="00B1556D" w:rsidRDefault="00C80019" w:rsidP="00C80019">
            <w:pPr>
              <w:jc w:val="both"/>
              <w:rPr>
                <w:rFonts w:ascii="Times New Roman" w:eastAsiaTheme="minorEastAsia" w:hAnsi="Times New Roman" w:cs="Times New Roman"/>
              </w:rPr>
            </w:pPr>
            <w:r w:rsidRPr="00B1556D">
              <w:rPr>
                <w:rFonts w:ascii="Times New Roman" w:hAnsi="Times New Roman" w:cs="Times New Roman"/>
              </w:rPr>
              <w:t xml:space="preserve"> Аж ахуйн нэгжийн орлогын албан татварын тухай хуулийн 21.1.15-д хөрөнгө оруулалтын сангийн үйл ажиллагааны орло</w:t>
            </w:r>
            <w:r w:rsidRPr="00B1556D">
              <w:rPr>
                <w:rFonts w:ascii="Times New Roman" w:eastAsiaTheme="minorEastAsia" w:hAnsi="Times New Roman" w:cs="Times New Roman"/>
                <w:lang w:val="mn-MN"/>
              </w:rPr>
              <w:t>г</w:t>
            </w:r>
            <w:r w:rsidRPr="00B1556D">
              <w:rPr>
                <w:rFonts w:ascii="Times New Roman" w:hAnsi="Times New Roman" w:cs="Times New Roman"/>
              </w:rPr>
              <w:t>ыг албан татвараас чөлөөлөхөөр заасан.</w:t>
            </w:r>
          </w:p>
          <w:p w14:paraId="27E69134" w14:textId="2EFD6979" w:rsidR="00341FF3" w:rsidRPr="00B1556D" w:rsidRDefault="00C80019" w:rsidP="00C80019">
            <w:pPr>
              <w:jc w:val="both"/>
              <w:rPr>
                <w:rFonts w:ascii="Times New Roman" w:hAnsi="Times New Roman" w:cs="Times New Roman"/>
              </w:rPr>
            </w:pPr>
            <w:r w:rsidRPr="00B1556D">
              <w:rPr>
                <w:rFonts w:ascii="Times New Roman" w:hAnsi="Times New Roman" w:cs="Times New Roman"/>
              </w:rPr>
              <w:t>Мөн хөрөнгийн зах зээлий</w:t>
            </w:r>
            <w:r w:rsidRPr="00B1556D">
              <w:rPr>
                <w:rFonts w:ascii="Times New Roman" w:hAnsi="Times New Roman" w:cs="Times New Roman"/>
                <w:lang w:val="mn-MN"/>
              </w:rPr>
              <w:t>г</w:t>
            </w:r>
            <w:r w:rsidRPr="00B1556D">
              <w:rPr>
                <w:rFonts w:ascii="Times New Roman" w:hAnsi="Times New Roman" w:cs="Times New Roman"/>
              </w:rPr>
              <w:t xml:space="preserve"> татварын таатай орчноор дэмжих хүрээнд Татварын багц хуульд нэмэлт, өөрчлөлт оруулах тухай Хорооны 2025 оны 03 дугаар сарын 18-ны өдрийн 1/917 дугаар албан бичгийг хүргүүлсэн.</w:t>
            </w:r>
          </w:p>
        </w:tc>
        <w:tc>
          <w:tcPr>
            <w:tcW w:w="876" w:type="dxa"/>
          </w:tcPr>
          <w:p w14:paraId="3A666F06" w14:textId="56303A7C" w:rsidR="00341FF3" w:rsidRPr="00B1556D" w:rsidRDefault="00B1556D" w:rsidP="00341FF3">
            <w:pPr>
              <w:jc w:val="both"/>
              <w:rPr>
                <w:rFonts w:ascii="Times New Roman" w:hAnsi="Times New Roman" w:cs="Times New Roman"/>
              </w:rPr>
            </w:pPr>
            <w:r>
              <w:rPr>
                <w:rFonts w:ascii="Times New Roman" w:hAnsi="Times New Roman" w:cs="Times New Roman"/>
              </w:rPr>
              <w:t xml:space="preserve">  </w:t>
            </w:r>
            <w:r w:rsidR="00AA5974" w:rsidRPr="00B1556D">
              <w:rPr>
                <w:rFonts w:ascii="Times New Roman" w:hAnsi="Times New Roman" w:cs="Times New Roman"/>
              </w:rPr>
              <w:t>90</w:t>
            </w:r>
          </w:p>
        </w:tc>
      </w:tr>
      <w:tr w:rsidR="00B1556D" w:rsidRPr="00B1556D" w14:paraId="4BE1490D" w14:textId="77777777" w:rsidTr="00B1556D">
        <w:tc>
          <w:tcPr>
            <w:tcW w:w="421" w:type="dxa"/>
          </w:tcPr>
          <w:p w14:paraId="463429BF" w14:textId="21CBAB1A" w:rsidR="00341FF3" w:rsidRPr="00B1556D" w:rsidRDefault="00341FF3" w:rsidP="00341FF3">
            <w:pPr>
              <w:jc w:val="both"/>
              <w:rPr>
                <w:rFonts w:ascii="Times New Roman" w:hAnsi="Times New Roman" w:cs="Times New Roman"/>
              </w:rPr>
            </w:pPr>
            <w:r w:rsidRPr="00B1556D">
              <w:rPr>
                <w:rFonts w:ascii="Times New Roman" w:hAnsi="Times New Roman" w:cs="Times New Roman"/>
              </w:rPr>
              <w:t>3</w:t>
            </w:r>
          </w:p>
        </w:tc>
        <w:tc>
          <w:tcPr>
            <w:tcW w:w="996" w:type="dxa"/>
          </w:tcPr>
          <w:p w14:paraId="5A325455" w14:textId="2862E370"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1.3.3.6</w:t>
            </w:r>
          </w:p>
        </w:tc>
        <w:tc>
          <w:tcPr>
            <w:tcW w:w="3965" w:type="dxa"/>
          </w:tcPr>
          <w:p w14:paraId="57DA39D0" w14:textId="74BC0239"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 xml:space="preserve">Хөрөнгийн зах зээлийн зохицуулалттай этгээдийн үйл ажиллагаанд шударга өрсөлдөөнийг бий болгож, жижиг хувьцаа </w:t>
            </w:r>
            <w:r w:rsidRPr="00B1556D">
              <w:rPr>
                <w:rFonts w:ascii="Times New Roman" w:hAnsi="Times New Roman" w:cs="Times New Roman"/>
                <w:shd w:val="clear" w:color="auto" w:fill="FFFFFF"/>
              </w:rPr>
              <w:lastRenderedPageBreak/>
              <w:t>эзэмшигчдийн эрх ашгийг хамгаалах тогтолцоог бүрдүүлнэ.</w:t>
            </w:r>
          </w:p>
        </w:tc>
        <w:tc>
          <w:tcPr>
            <w:tcW w:w="7487" w:type="dxa"/>
            <w:gridSpan w:val="2"/>
          </w:tcPr>
          <w:p w14:paraId="7D2291C2"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rPr>
              <w:lastRenderedPageBreak/>
              <w:t xml:space="preserve">Санхүүгийн зохицуулах хорооны 2018 оны 377 дугаар тогтоолын хавсралтаар “Хувьцаат компанийн хувьцаа эзэмшигчдийн хурлын зар хүргэх журам”-ыг батлан хувьцаат компани хувьцаа эзэмшигчдийн хурлаа цахимаар зохион байгуулахтай холбоотой нэмэлт, өөрчлөлтийг </w:t>
            </w:r>
            <w:r w:rsidRPr="00B1556D">
              <w:rPr>
                <w:rFonts w:ascii="Times New Roman" w:hAnsi="Times New Roman" w:cs="Times New Roman"/>
              </w:rPr>
              <w:lastRenderedPageBreak/>
              <w:t xml:space="preserve">оруулсан бөгөөд жижиг хувьцаа эзэмшигчид хувьцаа эзэмшигчдийн хуралд цаг хугацаа, орон зайн хязгааргүйгээр цахимаар оролцож, хэлэлцэж буй асуудлаар болон төлөөлөн удирдах зөвлөлийн гишүүдийг томилоход санал өгөх замаар эрхээ хамгаалах боломжийг бүрдүүлсэн. Мөн Санхүүгийн зохицуулах хорооны 2020 оны 880 дугаар тогтоолын хавсралтаар “Санал хураах кумулятив аргыг хэрэглэх журам”-ыг шинэчлэн баталж, жижиг хувьцаа эзэмшигчид нэгдэж төлөөлөн удирдах зөвлөлд өөрсдийн төлөөллийг сонгох боломжийг бий болгох зохицуулалтыг тусгасан. </w:t>
            </w:r>
          </w:p>
          <w:p w14:paraId="020A561B"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rPr>
              <w:t>Санхүүгийн зохицуулах хорооны 2024 оны 49 дүгээр тогтоолоор “Ногдол ашиг тараах ажиллагааг нарийвчлан тогтоох тухай” журмыг шинэчлэн баталж санхүүгийн жил дууссанаас хойш дөрвөн сарын дотор ногдол ашгаа тарааж, ногдол ашиг хуваарилалтын тайланг ногдол ашиг хуваарилж дууссанаас хойш ажлын 15 өдрийн дотор Хороонд мэдээллэхээр зохицуулсан.</w:t>
            </w:r>
          </w:p>
          <w:p w14:paraId="6195F3FE"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rPr>
              <w:t>Жижиг хувьцаа эзэмшигчдийн эрх ашгийг хамгаалах зорилгоор Компанийн тухай хуульд 2024 оны 05 дугаар сарын 16-ны өдөр нэмэлт, өөрчлөлт оруулж, компанийн хувьцаа эзэмшигч нь дангаараа, эсхүл бусад хувьцаа эзэмшигчидтэй хамтран компанийн энгийн хувьцааны нэг буюу түүнээс дээш хувийг бүрдүүлж байгаа тохиолдолд компанид учруулсан хохирлыг компанийн эрх бүхий албан тушаалтнаар нөхөн төлүүлэхээр шүүхэд нэхэмжлэл гаргах эрхтэй байхаар зохицуулсан.</w:t>
            </w:r>
          </w:p>
          <w:p w14:paraId="146C3BCC" w14:textId="4040681C" w:rsidR="00C80019" w:rsidRPr="00B1556D" w:rsidRDefault="00C80019" w:rsidP="00C80019">
            <w:pPr>
              <w:jc w:val="both"/>
              <w:rPr>
                <w:rFonts w:ascii="Times New Roman" w:hAnsi="Times New Roman" w:cs="Times New Roman"/>
              </w:rPr>
            </w:pPr>
            <w:r w:rsidRPr="00B1556D">
              <w:rPr>
                <w:rFonts w:ascii="Times New Roman" w:hAnsi="Times New Roman" w:cs="Times New Roman"/>
              </w:rPr>
              <w:t>Санхүүгийн зохицуулах хорооны 2022 оны 145 дугаар тогтоолоор батлагдсан “Компанийн засаглалын кодекс”-ийн 9 дүгээр зарчим болох хувьцаа эзэмшигчдийн эрх ашгийн 9.3-т жижиг хувьцаа эзэмшигчдийн төлөөлөн удирдах зөвлөлд төлөөллөө оруулах, мэдээлэл авах, хувьцаа эзэмшигчдийн хуралд санал оруулах, санал өгөх, шүүхэд гомдол гаргах эрх зэргийг хангах талаар бололцоо, нөхцлийг бүрдүүлж ажиллахыг тусгасан.</w:t>
            </w:r>
          </w:p>
          <w:p w14:paraId="69E8C0D8" w14:textId="24C37925" w:rsidR="00341FF3" w:rsidRPr="00B1556D" w:rsidRDefault="00C80019" w:rsidP="00C80019">
            <w:pPr>
              <w:jc w:val="both"/>
              <w:rPr>
                <w:rFonts w:ascii="Times New Roman" w:hAnsi="Times New Roman" w:cs="Times New Roman"/>
              </w:rPr>
            </w:pPr>
            <w:r w:rsidRPr="00B1556D">
              <w:rPr>
                <w:rFonts w:ascii="Times New Roman" w:hAnsi="Times New Roman" w:cs="Times New Roman"/>
              </w:rPr>
              <w:t xml:space="preserve"> Хорооны даргын 2025 оны 10 дугаар сарын 21-ний өдрийн 388 дугаар тушаалаар “Кастодианы үйл ажиллагаа эрхлэх эрх бүхий хуулийн этгээд хувьцаа эзэмшигчдийн эрхийг хэрэгжүүлэх боломжийг судлах хүрээнд холбогдох санал, дүгнэлт гаргах, шаардлагатай арга хэмжээг авч хэрэгжүүлэх чиг үүрэг бүхий ажлын хэсэг”-ийг байгуулж, </w:t>
            </w:r>
            <w:r w:rsidRPr="00B1556D">
              <w:rPr>
                <w:rFonts w:ascii="Times New Roman" w:hAnsi="Times New Roman" w:cs="Times New Roman"/>
              </w:rPr>
              <w:lastRenderedPageBreak/>
              <w:t>холбогдох судалгааг боловсруулж, хэрэгжүүлэх боломжтой арга хэмжээний саналыг гарган ажилласан.</w:t>
            </w:r>
          </w:p>
        </w:tc>
        <w:tc>
          <w:tcPr>
            <w:tcW w:w="876" w:type="dxa"/>
          </w:tcPr>
          <w:p w14:paraId="70AD8557" w14:textId="2C2A5B50"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w:t>
            </w:r>
            <w:r w:rsidR="00AA5974" w:rsidRPr="00B1556D">
              <w:rPr>
                <w:rFonts w:ascii="Times New Roman" w:hAnsi="Times New Roman" w:cs="Times New Roman"/>
              </w:rPr>
              <w:t>100</w:t>
            </w:r>
          </w:p>
        </w:tc>
      </w:tr>
      <w:tr w:rsidR="00B1556D" w:rsidRPr="00B1556D" w14:paraId="28E53B20" w14:textId="77777777" w:rsidTr="00B1556D">
        <w:tc>
          <w:tcPr>
            <w:tcW w:w="421" w:type="dxa"/>
          </w:tcPr>
          <w:p w14:paraId="1CBC47AC" w14:textId="1D6FB84C" w:rsidR="00341FF3" w:rsidRPr="00B1556D" w:rsidRDefault="00341FF3" w:rsidP="00341FF3">
            <w:pPr>
              <w:jc w:val="both"/>
              <w:rPr>
                <w:rFonts w:ascii="Times New Roman" w:hAnsi="Times New Roman" w:cs="Times New Roman"/>
              </w:rPr>
            </w:pPr>
            <w:r w:rsidRPr="00B1556D">
              <w:rPr>
                <w:rFonts w:ascii="Times New Roman" w:hAnsi="Times New Roman" w:cs="Times New Roman"/>
              </w:rPr>
              <w:lastRenderedPageBreak/>
              <w:t>4</w:t>
            </w:r>
          </w:p>
        </w:tc>
        <w:tc>
          <w:tcPr>
            <w:tcW w:w="996" w:type="dxa"/>
          </w:tcPr>
          <w:p w14:paraId="7E16640D" w14:textId="6BAE29EF"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1.3.3.7</w:t>
            </w:r>
          </w:p>
        </w:tc>
        <w:tc>
          <w:tcPr>
            <w:tcW w:w="3965" w:type="dxa"/>
          </w:tcPr>
          <w:p w14:paraId="3C094D5F" w14:textId="59788B32" w:rsidR="00341FF3" w:rsidRPr="00B1556D" w:rsidRDefault="00341FF3" w:rsidP="000D1A51">
            <w:pPr>
              <w:jc w:val="both"/>
              <w:rPr>
                <w:rFonts w:ascii="Times New Roman" w:hAnsi="Times New Roman" w:cs="Times New Roman"/>
              </w:rPr>
            </w:pPr>
            <w:r w:rsidRPr="00B1556D">
              <w:rPr>
                <w:rFonts w:ascii="Times New Roman" w:hAnsi="Times New Roman" w:cs="Times New Roman"/>
                <w:shd w:val="clear" w:color="auto" w:fill="FFFFFF"/>
              </w:rPr>
              <w:t>Хөрөнгийн зах зээлийн дэд бүтцийн байгууллагуудын системийн цогц шинэчлэлийг хэрэгжүүлж, олон улсын стандарт бүхий нэгдсэн шийдлийг зах зээлд нэвтрүүлэх ажлыг эхлүүлнэ</w:t>
            </w:r>
            <w:r w:rsidR="000D1A51" w:rsidRPr="00B1556D">
              <w:rPr>
                <w:rFonts w:ascii="Times New Roman" w:hAnsi="Times New Roman" w:cs="Times New Roman"/>
                <w:shd w:val="clear" w:color="auto" w:fill="FFFFFF"/>
              </w:rPr>
              <w:t>.</w:t>
            </w:r>
          </w:p>
        </w:tc>
        <w:tc>
          <w:tcPr>
            <w:tcW w:w="7487" w:type="dxa"/>
            <w:gridSpan w:val="2"/>
          </w:tcPr>
          <w:p w14:paraId="05D1CD25"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shd w:val="clear" w:color="auto" w:fill="FFFFFF"/>
              </w:rPr>
              <w:t>Сангийн сайдын 2024 оны 11 дүгээр сарын 22-ны өдрийн 212 дугаар тушаалаар хөрөнгийн зах зээлийн дэд бүтцийн системийн уялдаа холбоог хангах, цогц, шинэчлэлийг эхлүүлэх талаар судалж, холбогдох санал дүгнэлтийг боловсруулах чиг үүрэг бүхий ажлын хэсгийг байгуулсан. Тус ажлын хэсэгт Санхүүгийн зохицуулах хорооны төлөөлөл орж ажилласан бөгөөд ажлын хэсгээс хөрөнгийн зах зээлийн дэд бүтцийн байгууллагуудын арилжааны системийг цогцоор нь шинэчлэх, тендер зарлахаар санал, дүгнэлт гаргасан.</w:t>
            </w:r>
          </w:p>
          <w:p w14:paraId="4BE9F8B9" w14:textId="5CB7BC69" w:rsidR="00341FF3" w:rsidRPr="00B1556D" w:rsidRDefault="00C80019" w:rsidP="00C80019">
            <w:pPr>
              <w:jc w:val="both"/>
              <w:rPr>
                <w:rFonts w:ascii="Times New Roman" w:hAnsi="Times New Roman" w:cs="Times New Roman"/>
              </w:rPr>
            </w:pPr>
            <w:r w:rsidRPr="00B1556D">
              <w:rPr>
                <w:rFonts w:ascii="Times New Roman" w:hAnsi="Times New Roman" w:cs="Times New Roman"/>
              </w:rPr>
              <w:t xml:space="preserve">Монгол Улсын Сангийн сайдын 2025 оны 11 дүгээр сарын 07-ны өдрийн 193 дугаар тушаалаар “Монголын үнэт цаасны клирингийн төв” ХХК-ийг “Үнэт цаасны төвлөрсөн хадгаламжийн төв” ХХК-д нэгтгэх арга хэмжээг хэрэгжүүлэх ажлын хэсгийг байгуулсан ба ажлын хэсэгт </w:t>
            </w:r>
            <w:r w:rsidRPr="00B1556D">
              <w:rPr>
                <w:rFonts w:ascii="Times New Roman" w:hAnsi="Times New Roman" w:cs="Times New Roman"/>
                <w:lang w:val="mn-MN"/>
              </w:rPr>
              <w:t>СЗХ</w:t>
            </w:r>
            <w:r w:rsidRPr="00B1556D">
              <w:rPr>
                <w:rFonts w:ascii="Times New Roman" w:hAnsi="Times New Roman" w:cs="Times New Roman"/>
              </w:rPr>
              <w:t>-ны төлөөлөл орж ажиллаж байна.</w:t>
            </w:r>
          </w:p>
        </w:tc>
        <w:tc>
          <w:tcPr>
            <w:tcW w:w="876" w:type="dxa"/>
          </w:tcPr>
          <w:p w14:paraId="5D05218E" w14:textId="764D8FEC" w:rsidR="00341FF3" w:rsidRPr="00B1556D" w:rsidRDefault="00B1556D" w:rsidP="00341FF3">
            <w:pPr>
              <w:jc w:val="both"/>
              <w:rPr>
                <w:rFonts w:ascii="Times New Roman" w:hAnsi="Times New Roman" w:cs="Times New Roman"/>
              </w:rPr>
            </w:pPr>
            <w:r>
              <w:rPr>
                <w:rFonts w:ascii="Times New Roman" w:hAnsi="Times New Roman" w:cs="Times New Roman"/>
              </w:rPr>
              <w:t xml:space="preserve">  </w:t>
            </w:r>
            <w:r w:rsidR="00014461" w:rsidRPr="00B1556D">
              <w:rPr>
                <w:rFonts w:ascii="Times New Roman" w:hAnsi="Times New Roman" w:cs="Times New Roman"/>
              </w:rPr>
              <w:t>100</w:t>
            </w:r>
          </w:p>
        </w:tc>
      </w:tr>
      <w:tr w:rsidR="00B1556D" w:rsidRPr="00B1556D" w14:paraId="4D21DB67" w14:textId="77777777" w:rsidTr="00690D82">
        <w:tc>
          <w:tcPr>
            <w:tcW w:w="13745" w:type="dxa"/>
            <w:gridSpan w:val="6"/>
          </w:tcPr>
          <w:p w14:paraId="41D2C023" w14:textId="50A66CB9" w:rsidR="00341FF3" w:rsidRPr="00B1556D" w:rsidRDefault="00341FF3" w:rsidP="00341FF3">
            <w:pPr>
              <w:jc w:val="center"/>
              <w:rPr>
                <w:rFonts w:ascii="Times New Roman" w:hAnsi="Times New Roman" w:cs="Times New Roman"/>
              </w:rPr>
            </w:pPr>
            <w:r w:rsidRPr="00B1556D">
              <w:rPr>
                <w:rFonts w:ascii="Times New Roman" w:hAnsi="Times New Roman" w:cs="Times New Roman"/>
                <w:b/>
                <w:bCs/>
              </w:rPr>
              <w:t>1.4 Ногоон хөрөнгө оруулалтыг нэмэгдүүлж, байгаль орчны тэнцвэртэй байдлыг хангана.</w:t>
            </w:r>
          </w:p>
        </w:tc>
      </w:tr>
      <w:tr w:rsidR="00B1556D" w:rsidRPr="00B1556D" w14:paraId="0DD75DFE" w14:textId="77777777" w:rsidTr="00B1556D">
        <w:tc>
          <w:tcPr>
            <w:tcW w:w="421" w:type="dxa"/>
          </w:tcPr>
          <w:p w14:paraId="3724D806" w14:textId="0BF659AF" w:rsidR="00341FF3" w:rsidRPr="00B1556D" w:rsidRDefault="006A3740" w:rsidP="00341FF3">
            <w:pPr>
              <w:jc w:val="both"/>
              <w:rPr>
                <w:rFonts w:ascii="Times New Roman" w:hAnsi="Times New Roman" w:cs="Times New Roman"/>
              </w:rPr>
            </w:pPr>
            <w:r w:rsidRPr="00B1556D">
              <w:rPr>
                <w:rFonts w:ascii="Times New Roman" w:hAnsi="Times New Roman" w:cs="Times New Roman"/>
              </w:rPr>
              <w:t>5</w:t>
            </w:r>
          </w:p>
        </w:tc>
        <w:tc>
          <w:tcPr>
            <w:tcW w:w="996" w:type="dxa"/>
          </w:tcPr>
          <w:p w14:paraId="1B803240" w14:textId="7B5DC2CC"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1.4.1.7</w:t>
            </w:r>
          </w:p>
        </w:tc>
        <w:tc>
          <w:tcPr>
            <w:tcW w:w="3965" w:type="dxa"/>
          </w:tcPr>
          <w:p w14:paraId="20149373" w14:textId="5706F3A9"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Тогтвортой ногоон хот, ногоон барилга, амьдралын ногоон хэв маяг, нөөцийн хэмнэлт зэрэг байгальд ээлтэй, хэмнэлттэй ногоон үзэл санаа, хандлага, дадлыг нэвтрүүлж байгаа иргэн, аж ахуйн нэгжийн үйл ажиллагааг дэмжин хөгжүүлнэ.</w:t>
            </w:r>
          </w:p>
        </w:tc>
        <w:tc>
          <w:tcPr>
            <w:tcW w:w="7487" w:type="dxa"/>
            <w:gridSpan w:val="2"/>
          </w:tcPr>
          <w:p w14:paraId="2418261D" w14:textId="6EBE3560" w:rsidR="00C80019" w:rsidRPr="00B1556D" w:rsidRDefault="00C80019" w:rsidP="00341FF3">
            <w:pPr>
              <w:jc w:val="both"/>
              <w:rPr>
                <w:rFonts w:ascii="Times New Roman" w:hAnsi="Times New Roman" w:cs="Times New Roman"/>
                <w:b/>
                <w:bCs/>
              </w:rPr>
            </w:pPr>
            <w:r w:rsidRPr="00B1556D">
              <w:rPr>
                <w:rFonts w:ascii="Times New Roman" w:hAnsi="Times New Roman" w:cs="Times New Roman"/>
                <w:b/>
                <w:bCs/>
              </w:rPr>
              <w:t>Үнэт цаасны газрын хүрээнд:</w:t>
            </w:r>
          </w:p>
          <w:p w14:paraId="38F26C44" w14:textId="77777777" w:rsidR="00DD282B" w:rsidRPr="00B1556D" w:rsidRDefault="00DD282B" w:rsidP="00DD282B">
            <w:pPr>
              <w:jc w:val="both"/>
              <w:rPr>
                <w:rFonts w:ascii="Times New Roman" w:hAnsi="Times New Roman" w:cs="Times New Roman"/>
              </w:rPr>
            </w:pPr>
            <w:r w:rsidRPr="00B1556D">
              <w:rPr>
                <w:rFonts w:ascii="Times New Roman" w:hAnsi="Times New Roman" w:cs="Times New Roman"/>
              </w:rPr>
              <w:t>Санхүүгийн зохицуулах хорооноос дотоодын аж ахуй нэгжүүдийг олон улсын стандартад нийцсэн “Ногоон бонд”-ыг хөрөнгийн зах зээлд олон нийтэд санал болгон гаргах зохицуулалтын орчныг бий болгох, үүний зэрэгцээ нийтэд санал болгон компанийн бонд гаргах ажиллагааг олон улсын жишигтэй уялдуулж, дотоодын аж ахуйн нэгжүүдийг хямд өртөг бүхий урт хугацааны санхүүжилтийг хөрөнгийн зах зээлээс татах хөшүүргийг бий болгох зорилгоор 2021 оны 226 дугаар тогтоолын хавсралтаар “Өрийн хэрэгслийн бүртгэлийн журам”-ыг шинээр баталж байсан бол 2025 оны 225 дугаар тогтоолоор нийгмийн, тогтвортой байдлын бондын зохицуулалтыг нэмэлт, өөрчлөлтөөр оруулан тусгасан. Тус журмаар ногоон, нийгмийн, тогтвортой байдлын бонд гаргалтыг дэмжих зорилгоор бонд гаргагчаас ирүүлсэн хүсэлтийг хялбаршуулсан нөхцлөөр бүртгэх зохицуулалттай юм.</w:t>
            </w:r>
          </w:p>
          <w:p w14:paraId="41A44DE6" w14:textId="2DF5D86C" w:rsidR="00DD282B" w:rsidRPr="00B1556D" w:rsidRDefault="008155F9" w:rsidP="00DD282B">
            <w:pPr>
              <w:jc w:val="both"/>
              <w:rPr>
                <w:rFonts w:ascii="Times New Roman" w:hAnsi="Times New Roman" w:cs="Times New Roman"/>
              </w:rPr>
            </w:pPr>
            <w:r w:rsidRPr="00B1556D">
              <w:rPr>
                <w:rFonts w:ascii="Times New Roman" w:hAnsi="Times New Roman" w:cs="Times New Roman"/>
              </w:rPr>
              <w:t>Хороо</w:t>
            </w:r>
            <w:r w:rsidR="00DD282B" w:rsidRPr="00B1556D">
              <w:rPr>
                <w:rFonts w:ascii="Times New Roman" w:hAnsi="Times New Roman" w:cs="Times New Roman"/>
              </w:rPr>
              <w:t xml:space="preserve"> нь 2022 онд “Байгаль орчин, нийгэм, засаглал (БОНЗ)-ын тайлагналын удирдамж”-ийг  ОУСК, МХБ, Тос Холбоо болон бусад олон улсын байгууллагуудтай хамтран суурь судалгаа, ярилцлага болон </w:t>
            </w:r>
            <w:r w:rsidR="00DD282B" w:rsidRPr="00B1556D">
              <w:rPr>
                <w:rFonts w:ascii="Times New Roman" w:hAnsi="Times New Roman" w:cs="Times New Roman"/>
              </w:rPr>
              <w:lastRenderedPageBreak/>
              <w:t>оролцогч талуудын санал хэлэлцүүлэгт үндэслэн, олон улсын жишигт нийцүүлэн боловсруулсан.</w:t>
            </w:r>
          </w:p>
          <w:p w14:paraId="574D4AFE" w14:textId="4B7C7C81" w:rsidR="00DD282B" w:rsidRPr="00B1556D" w:rsidRDefault="00DD282B" w:rsidP="00DD282B">
            <w:pPr>
              <w:jc w:val="both"/>
              <w:rPr>
                <w:rFonts w:ascii="Times New Roman" w:hAnsi="Times New Roman" w:cs="Times New Roman"/>
              </w:rPr>
            </w:pPr>
            <w:r w:rsidRPr="00B1556D">
              <w:rPr>
                <w:rFonts w:ascii="Times New Roman" w:hAnsi="Times New Roman" w:cs="Times New Roman"/>
              </w:rPr>
              <w:t>•</w:t>
            </w:r>
            <w:r w:rsidRPr="00B1556D">
              <w:rPr>
                <w:rFonts w:ascii="Times New Roman" w:hAnsi="Times New Roman" w:cs="Times New Roman"/>
              </w:rPr>
              <w:tab/>
              <w:t xml:space="preserve">Санхүүгийн зохицуулах хорооны зүгээс холбогдох талуудтай хамтран Тогтвортой хөгжлийн зорилт (ТХЗ)-уудын санхүүжилтийн таксономи (SDG Finance Taxonomy)-ийн аргачлал, санхүүжүүлэх боломжтой эдийн засгийн үйл ажиллагааны ангилал стандартыг олон улсын сайн туршлага, стандартын дагуу боловсруулж, 2023 оны </w:t>
            </w:r>
            <w:r w:rsidR="008155F9" w:rsidRPr="00B1556D">
              <w:rPr>
                <w:rFonts w:ascii="Times New Roman" w:hAnsi="Times New Roman" w:cs="Times New Roman"/>
              </w:rPr>
              <w:t>0</w:t>
            </w:r>
            <w:r w:rsidRPr="00B1556D">
              <w:rPr>
                <w:rFonts w:ascii="Times New Roman" w:hAnsi="Times New Roman" w:cs="Times New Roman"/>
              </w:rPr>
              <w:t>6 дугаар сард Тогтвортой санхүүгийн долоо хоног ОУ-ын форум арга хэмжээний үеэр туршилтын хугацаатай баталсан.</w:t>
            </w:r>
          </w:p>
          <w:p w14:paraId="4B42D554" w14:textId="77777777" w:rsidR="00DD282B" w:rsidRPr="00B1556D" w:rsidRDefault="00DD282B" w:rsidP="00DD282B">
            <w:pPr>
              <w:jc w:val="both"/>
              <w:rPr>
                <w:rFonts w:ascii="Times New Roman" w:hAnsi="Times New Roman" w:cs="Times New Roman"/>
              </w:rPr>
            </w:pPr>
            <w:r w:rsidRPr="00B1556D">
              <w:rPr>
                <w:rFonts w:ascii="Times New Roman" w:hAnsi="Times New Roman" w:cs="Times New Roman"/>
              </w:rPr>
              <w:t>•</w:t>
            </w:r>
            <w:r w:rsidRPr="00B1556D">
              <w:rPr>
                <w:rFonts w:ascii="Times New Roman" w:hAnsi="Times New Roman" w:cs="Times New Roman"/>
              </w:rPr>
              <w:tab/>
              <w:t>"БОНЗ, тогтвортой байдлын тайлагнал"-ын дижитал платформ ТоС Холбооноос хөгжүүлсэн бөгөөд “Санхүүгийн зохицуулах хороо, “МХБ” ХК, ТоС холбоо хоорондын хамтын  ажиллагааны санамж бичиг”-ийг байгуулсан бөгөөд тус платформыг зах зээлд нэвтрүүлэхээр ажиллаж байна.</w:t>
            </w:r>
          </w:p>
          <w:p w14:paraId="6E0B3D95" w14:textId="0712FA05" w:rsidR="00C80019" w:rsidRPr="00B1556D" w:rsidRDefault="00DD282B" w:rsidP="00341FF3">
            <w:pPr>
              <w:jc w:val="both"/>
              <w:rPr>
                <w:rFonts w:ascii="Times New Roman" w:hAnsi="Times New Roman" w:cs="Times New Roman"/>
                <w:b/>
                <w:bCs/>
              </w:rPr>
            </w:pPr>
            <w:r w:rsidRPr="00B1556D">
              <w:rPr>
                <w:rFonts w:ascii="Times New Roman" w:hAnsi="Times New Roman" w:cs="Times New Roman"/>
              </w:rPr>
              <w:t>Цаашид Санхүүгийн зохицуулах хорооны зүгээс тогтвортой байдалтай уялдсан бондын зохицуулалтын орчныг бүрдүүлэх хүрээнд ОУСК болон бусад байгууллагуудтай хамтран ажиллахаар төлөвлөж байна.</w:t>
            </w:r>
          </w:p>
          <w:p w14:paraId="4ED71F06" w14:textId="4E656D1F" w:rsidR="00341FF3" w:rsidRPr="00B1556D" w:rsidRDefault="00341FF3" w:rsidP="00341FF3">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хүрээнд:</w:t>
            </w:r>
          </w:p>
          <w:p w14:paraId="50696038" w14:textId="2DCE0CFC" w:rsidR="00341FF3" w:rsidRPr="00B1556D" w:rsidRDefault="00341FF3" w:rsidP="00341FF3">
            <w:pPr>
              <w:jc w:val="both"/>
              <w:rPr>
                <w:rFonts w:ascii="Times New Roman" w:hAnsi="Times New Roman" w:cs="Times New Roman"/>
              </w:rPr>
            </w:pPr>
            <w:r w:rsidRPr="00B1556D">
              <w:rPr>
                <w:rFonts w:ascii="Times New Roman" w:hAnsi="Times New Roman" w:cs="Times New Roman"/>
                <w:lang w:val="mn-MN"/>
              </w:rPr>
              <w:t>Санхүүгийн тогтвортой байдлын зөвлөлөөс баталсан “</w:t>
            </w:r>
            <w:bookmarkStart w:id="1" w:name="_Hlk217549419"/>
            <w:r w:rsidRPr="00B1556D">
              <w:rPr>
                <w:rFonts w:ascii="Times New Roman" w:hAnsi="Times New Roman" w:cs="Times New Roman"/>
                <w:lang w:val="mn-MN"/>
              </w:rPr>
              <w:t>Тогтвортой хөгжлийн зорилтуудын санхүүжилтийн таксономи”-ийн ангилалд хамаарах ББСБ-аас олгох ногоон зээл 2025 оны III улирлын байдлаар 37 ББСБ 10,398 зээлдэгчид 122.5 тэрбум төгрөгийн зээлийг дунджаар 2.8 хувийн хүүтэйгээр олгож, 42 ББСБ-ын 9,207 зээлдэгчээс 75.4 тэрбум төгрөгийн зээл эргэн төлөгдөж, 2025 оны III улирлын байдлаар 42 ББСБ 13,124 зээлдэгчийн 154.0 тэрбум төгрөгийн “ногоон” зээлийн үлдэгдэлтэй гарчээ</w:t>
            </w:r>
            <w:bookmarkEnd w:id="1"/>
            <w:r w:rsidRPr="00B1556D">
              <w:rPr>
                <w:rFonts w:ascii="Times New Roman" w:hAnsi="Times New Roman" w:cs="Times New Roman"/>
                <w:lang w:val="mn-MN"/>
              </w:rPr>
              <w:t>. Энэ нь салбарын нийт зээлийн үлдэгдлийн 2.2%-тай тэнцэж байна.</w:t>
            </w:r>
          </w:p>
        </w:tc>
        <w:tc>
          <w:tcPr>
            <w:tcW w:w="876" w:type="dxa"/>
          </w:tcPr>
          <w:p w14:paraId="274B465E" w14:textId="7C0986F9"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w:t>
            </w:r>
            <w:r w:rsidR="001B3D17" w:rsidRPr="00B1556D">
              <w:rPr>
                <w:rFonts w:ascii="Times New Roman" w:hAnsi="Times New Roman" w:cs="Times New Roman"/>
              </w:rPr>
              <w:t>100</w:t>
            </w:r>
          </w:p>
        </w:tc>
      </w:tr>
      <w:tr w:rsidR="00B1556D" w:rsidRPr="00B1556D" w14:paraId="22447540" w14:textId="77777777" w:rsidTr="00B1556D">
        <w:tc>
          <w:tcPr>
            <w:tcW w:w="421" w:type="dxa"/>
          </w:tcPr>
          <w:p w14:paraId="76D5515A" w14:textId="6DA97A0D" w:rsidR="00341FF3" w:rsidRPr="00B1556D" w:rsidRDefault="006A3740" w:rsidP="00341FF3">
            <w:pPr>
              <w:jc w:val="both"/>
              <w:rPr>
                <w:rFonts w:ascii="Times New Roman" w:hAnsi="Times New Roman" w:cs="Times New Roman"/>
              </w:rPr>
            </w:pPr>
            <w:r w:rsidRPr="00B1556D">
              <w:rPr>
                <w:rFonts w:ascii="Times New Roman" w:hAnsi="Times New Roman" w:cs="Times New Roman"/>
              </w:rPr>
              <w:t>6</w:t>
            </w:r>
          </w:p>
        </w:tc>
        <w:tc>
          <w:tcPr>
            <w:tcW w:w="996" w:type="dxa"/>
          </w:tcPr>
          <w:p w14:paraId="709EF284" w14:textId="40BE756F"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1.4.1.10</w:t>
            </w:r>
          </w:p>
        </w:tc>
        <w:tc>
          <w:tcPr>
            <w:tcW w:w="3965" w:type="dxa"/>
          </w:tcPr>
          <w:p w14:paraId="1CCA966F" w14:textId="65ABF166"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Ногоон эдийн засгийг дэмжих санхүүжилт, татвар, зээл, урамшууллын оновчтой хөшүүргийг нэвтрүүлнэ.</w:t>
            </w:r>
          </w:p>
        </w:tc>
        <w:tc>
          <w:tcPr>
            <w:tcW w:w="7487" w:type="dxa"/>
            <w:gridSpan w:val="2"/>
          </w:tcPr>
          <w:p w14:paraId="02B0E10E" w14:textId="77777777" w:rsidR="00341FF3" w:rsidRPr="00B1556D" w:rsidRDefault="00341FF3" w:rsidP="00341FF3">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хүрээнд:</w:t>
            </w:r>
          </w:p>
          <w:p w14:paraId="22F9EA21" w14:textId="317DC55F" w:rsidR="00341FF3" w:rsidRPr="00B1556D" w:rsidRDefault="00341FF3" w:rsidP="00341FF3">
            <w:pPr>
              <w:jc w:val="both"/>
              <w:rPr>
                <w:rFonts w:ascii="Times New Roman" w:hAnsi="Times New Roman" w:cs="Times New Roman"/>
              </w:rPr>
            </w:pPr>
            <w:r w:rsidRPr="00B1556D">
              <w:rPr>
                <w:rFonts w:ascii="Times New Roman" w:hAnsi="Times New Roman" w:cs="Times New Roman"/>
                <w:lang w:val="mn-MN"/>
              </w:rPr>
              <w:t xml:space="preserve">Санхүүгийн зохицуулах хорооны 2025 оны 68 дугаар тогтоолоор баталсан “Банк бус санхүүгийн үйл ажиллагааны болон зохистой харьцааны шалгуур үзүүлэлтийг тооцож, хяналт тавих журам”-д нийт зээлийн багцад эзлэх ногоон зээлийн хувь хэмжээнээс шалтгаалан </w:t>
            </w:r>
            <w:r w:rsidRPr="00B1556D">
              <w:rPr>
                <w:rFonts w:ascii="Times New Roman" w:hAnsi="Times New Roman" w:cs="Times New Roman"/>
                <w:lang w:val="mn-MN"/>
              </w:rPr>
              <w:lastRenderedPageBreak/>
              <w:t>итгэлцлийн үйлчилгээгээр өөрийн хөрөнгийн 80 хувиас хэтрэхгүй байхаар бодлогын дэмжлэг үзүүлсэн зохицуулалтыг тусгасан.</w:t>
            </w:r>
          </w:p>
        </w:tc>
        <w:tc>
          <w:tcPr>
            <w:tcW w:w="876" w:type="dxa"/>
          </w:tcPr>
          <w:p w14:paraId="6897CA9A" w14:textId="56543224"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w:t>
            </w:r>
            <w:r w:rsidR="001B3D17" w:rsidRPr="00B1556D">
              <w:rPr>
                <w:rFonts w:ascii="Times New Roman" w:hAnsi="Times New Roman" w:cs="Times New Roman"/>
              </w:rPr>
              <w:t>100</w:t>
            </w:r>
          </w:p>
        </w:tc>
      </w:tr>
      <w:tr w:rsidR="00F11F6A" w:rsidRPr="00B1556D" w14:paraId="73D5BCF0" w14:textId="77777777" w:rsidTr="00360AE9">
        <w:tc>
          <w:tcPr>
            <w:tcW w:w="5382" w:type="dxa"/>
            <w:gridSpan w:val="3"/>
          </w:tcPr>
          <w:p w14:paraId="1335C557" w14:textId="3956A648" w:rsidR="00F11F6A" w:rsidRPr="00F11F6A" w:rsidRDefault="00F11F6A" w:rsidP="00341FF3">
            <w:pPr>
              <w:jc w:val="both"/>
              <w:rPr>
                <w:rFonts w:ascii="Times New Roman" w:hAnsi="Times New Roman" w:cs="Times New Roman"/>
                <w:b/>
                <w:bCs/>
                <w:i/>
                <w:iCs/>
                <w:shd w:val="clear" w:color="auto" w:fill="FFFFFF"/>
              </w:rPr>
            </w:pPr>
            <w:r w:rsidRPr="00F11F6A">
              <w:rPr>
                <w:rFonts w:ascii="Times New Roman" w:hAnsi="Times New Roman" w:cs="Times New Roman"/>
                <w:b/>
                <w:bCs/>
                <w:i/>
                <w:iCs/>
                <w:shd w:val="clear" w:color="auto" w:fill="FFFFFF"/>
              </w:rPr>
              <w:t>Хэсгийн дундаж</w:t>
            </w:r>
          </w:p>
        </w:tc>
        <w:tc>
          <w:tcPr>
            <w:tcW w:w="7487" w:type="dxa"/>
            <w:gridSpan w:val="2"/>
          </w:tcPr>
          <w:p w14:paraId="10E04F0F" w14:textId="77777777" w:rsidR="00F11F6A" w:rsidRPr="00F11F6A" w:rsidRDefault="00F11F6A" w:rsidP="00341FF3">
            <w:pPr>
              <w:jc w:val="both"/>
              <w:rPr>
                <w:rFonts w:ascii="Times New Roman" w:hAnsi="Times New Roman" w:cs="Times New Roman"/>
                <w:b/>
                <w:bCs/>
                <w:i/>
                <w:iCs/>
              </w:rPr>
            </w:pPr>
          </w:p>
        </w:tc>
        <w:tc>
          <w:tcPr>
            <w:tcW w:w="876" w:type="dxa"/>
          </w:tcPr>
          <w:p w14:paraId="0845ABA0" w14:textId="73C3E960" w:rsidR="00F11F6A" w:rsidRPr="00F11F6A" w:rsidRDefault="00F11F6A" w:rsidP="00341FF3">
            <w:pPr>
              <w:jc w:val="both"/>
              <w:rPr>
                <w:rFonts w:ascii="Times New Roman" w:hAnsi="Times New Roman" w:cs="Times New Roman"/>
                <w:b/>
                <w:bCs/>
                <w:i/>
                <w:iCs/>
              </w:rPr>
            </w:pPr>
            <w:r w:rsidRPr="00F11F6A">
              <w:rPr>
                <w:rFonts w:ascii="Times New Roman" w:hAnsi="Times New Roman" w:cs="Times New Roman"/>
                <w:b/>
                <w:bCs/>
                <w:i/>
                <w:iCs/>
              </w:rPr>
              <w:t>97.5%</w:t>
            </w:r>
          </w:p>
        </w:tc>
      </w:tr>
      <w:tr w:rsidR="00B1556D" w:rsidRPr="00B1556D" w14:paraId="591D8DBE" w14:textId="77777777" w:rsidTr="00B1556D">
        <w:tc>
          <w:tcPr>
            <w:tcW w:w="5382" w:type="dxa"/>
            <w:gridSpan w:val="3"/>
          </w:tcPr>
          <w:p w14:paraId="3945B617" w14:textId="5BF0C1CB" w:rsidR="001B3D17" w:rsidRPr="00F11F6A" w:rsidRDefault="00F11F6A" w:rsidP="00341FF3">
            <w:pPr>
              <w:jc w:val="both"/>
              <w:rPr>
                <w:rFonts w:ascii="Times New Roman" w:hAnsi="Times New Roman" w:cs="Times New Roman"/>
                <w:b/>
                <w:bCs/>
                <w:i/>
                <w:iCs/>
                <w:u w:val="single"/>
                <w:shd w:val="clear" w:color="auto" w:fill="FFFFFF"/>
                <w:lang w:val="mn-MN"/>
              </w:rPr>
            </w:pPr>
            <w:r>
              <w:rPr>
                <w:rFonts w:ascii="Times New Roman" w:hAnsi="Times New Roman" w:cs="Times New Roman"/>
                <w:b/>
                <w:bCs/>
                <w:i/>
                <w:iCs/>
                <w:u w:val="single"/>
                <w:shd w:val="clear" w:color="auto" w:fill="FFFFFF"/>
                <w:lang w:val="mn-MN"/>
              </w:rPr>
              <w:t>НИЙТ ДУНДАЖ ХУВЬ:</w:t>
            </w:r>
          </w:p>
        </w:tc>
        <w:tc>
          <w:tcPr>
            <w:tcW w:w="7487" w:type="dxa"/>
            <w:gridSpan w:val="2"/>
          </w:tcPr>
          <w:p w14:paraId="4267506B" w14:textId="77777777" w:rsidR="001B3D17" w:rsidRPr="00A3245F" w:rsidRDefault="001B3D17" w:rsidP="00341FF3">
            <w:pPr>
              <w:jc w:val="both"/>
              <w:rPr>
                <w:rFonts w:ascii="Times New Roman" w:hAnsi="Times New Roman" w:cs="Times New Roman"/>
                <w:b/>
                <w:bCs/>
                <w:i/>
                <w:iCs/>
                <w:u w:val="single"/>
              </w:rPr>
            </w:pPr>
          </w:p>
        </w:tc>
        <w:tc>
          <w:tcPr>
            <w:tcW w:w="876" w:type="dxa"/>
          </w:tcPr>
          <w:p w14:paraId="1084FE54" w14:textId="066396EE" w:rsidR="001B3D17" w:rsidRPr="00A3245F" w:rsidRDefault="00F11F6A" w:rsidP="00341FF3">
            <w:pPr>
              <w:jc w:val="both"/>
              <w:rPr>
                <w:rFonts w:ascii="Times New Roman" w:hAnsi="Times New Roman" w:cs="Times New Roman"/>
                <w:b/>
                <w:bCs/>
                <w:i/>
                <w:iCs/>
                <w:u w:val="single"/>
              </w:rPr>
            </w:pPr>
            <w:r>
              <w:rPr>
                <w:rFonts w:ascii="Times New Roman" w:hAnsi="Times New Roman" w:cs="Times New Roman"/>
                <w:b/>
                <w:bCs/>
                <w:i/>
                <w:iCs/>
                <w:u w:val="single"/>
              </w:rPr>
              <w:t>92</w:t>
            </w:r>
            <w:r w:rsidR="001B3D17" w:rsidRPr="00A3245F">
              <w:rPr>
                <w:rFonts w:ascii="Times New Roman" w:hAnsi="Times New Roman" w:cs="Times New Roman"/>
                <w:b/>
                <w:bCs/>
                <w:i/>
                <w:iCs/>
                <w:u w:val="single"/>
              </w:rPr>
              <w:t>.5%</w:t>
            </w:r>
          </w:p>
        </w:tc>
      </w:tr>
    </w:tbl>
    <w:p w14:paraId="1AC76E8C" w14:textId="77777777" w:rsidR="00B1556D" w:rsidRDefault="00B1556D" w:rsidP="005017FC">
      <w:pPr>
        <w:jc w:val="both"/>
        <w:rPr>
          <w:rFonts w:ascii="Times New Roman" w:hAnsi="Times New Roman" w:cs="Times New Roman"/>
        </w:rPr>
      </w:pPr>
    </w:p>
    <w:p w14:paraId="2D41BFB0" w14:textId="77777777" w:rsidR="00A3245F" w:rsidRDefault="00A3245F" w:rsidP="00B1556D">
      <w:pPr>
        <w:spacing w:after="0" w:line="360" w:lineRule="auto"/>
        <w:jc w:val="center"/>
        <w:rPr>
          <w:rFonts w:ascii="Times New Roman" w:hAnsi="Times New Roman" w:cs="Times New Roman"/>
          <w:lang w:val="mn-MN"/>
        </w:rPr>
      </w:pPr>
    </w:p>
    <w:p w14:paraId="4D6243FB" w14:textId="77777777" w:rsidR="00B1556D" w:rsidRDefault="00B1556D" w:rsidP="00E75AD7">
      <w:pPr>
        <w:spacing w:line="360" w:lineRule="auto"/>
        <w:jc w:val="both"/>
        <w:rPr>
          <w:rFonts w:ascii="Times New Roman" w:hAnsi="Times New Roman" w:cs="Times New Roman"/>
        </w:rPr>
      </w:pPr>
    </w:p>
    <w:p w14:paraId="7521A68D" w14:textId="77777777" w:rsidR="00132671" w:rsidRDefault="00132671" w:rsidP="00E75AD7">
      <w:pPr>
        <w:spacing w:line="360" w:lineRule="auto"/>
        <w:jc w:val="both"/>
        <w:rPr>
          <w:rFonts w:ascii="Times New Roman" w:hAnsi="Times New Roman" w:cs="Times New Roman"/>
        </w:rPr>
      </w:pPr>
    </w:p>
    <w:p w14:paraId="31042B21" w14:textId="77777777" w:rsidR="00132671" w:rsidRDefault="00132671" w:rsidP="00E75AD7">
      <w:pPr>
        <w:spacing w:line="360" w:lineRule="auto"/>
        <w:jc w:val="both"/>
        <w:rPr>
          <w:rFonts w:ascii="Times New Roman" w:hAnsi="Times New Roman" w:cs="Times New Roman"/>
        </w:rPr>
      </w:pPr>
    </w:p>
    <w:p w14:paraId="358E6972" w14:textId="77777777" w:rsidR="00132671" w:rsidRDefault="00132671" w:rsidP="00E75AD7">
      <w:pPr>
        <w:spacing w:line="360" w:lineRule="auto"/>
        <w:jc w:val="both"/>
        <w:rPr>
          <w:rFonts w:ascii="Times New Roman" w:hAnsi="Times New Roman" w:cs="Times New Roman"/>
        </w:rPr>
      </w:pPr>
    </w:p>
    <w:p w14:paraId="6AD1D54C" w14:textId="77777777" w:rsidR="00132671" w:rsidRDefault="00132671" w:rsidP="00E75AD7">
      <w:pPr>
        <w:spacing w:line="360" w:lineRule="auto"/>
        <w:jc w:val="both"/>
        <w:rPr>
          <w:rFonts w:ascii="Times New Roman" w:hAnsi="Times New Roman" w:cs="Times New Roman"/>
        </w:rPr>
      </w:pPr>
    </w:p>
    <w:p w14:paraId="415D03B1" w14:textId="77777777" w:rsidR="00132671" w:rsidRDefault="00132671" w:rsidP="00E75AD7">
      <w:pPr>
        <w:spacing w:line="360" w:lineRule="auto"/>
        <w:jc w:val="both"/>
        <w:rPr>
          <w:rFonts w:ascii="Times New Roman" w:hAnsi="Times New Roman" w:cs="Times New Roman"/>
        </w:rPr>
      </w:pPr>
    </w:p>
    <w:p w14:paraId="0BAA8892" w14:textId="77777777" w:rsidR="00132671" w:rsidRDefault="00132671" w:rsidP="00E75AD7">
      <w:pPr>
        <w:spacing w:line="360" w:lineRule="auto"/>
        <w:jc w:val="both"/>
        <w:rPr>
          <w:rFonts w:ascii="Times New Roman" w:hAnsi="Times New Roman" w:cs="Times New Roman"/>
        </w:rPr>
      </w:pPr>
    </w:p>
    <w:p w14:paraId="2208EDB4" w14:textId="77777777" w:rsidR="00132671" w:rsidRDefault="00132671" w:rsidP="00E75AD7">
      <w:pPr>
        <w:spacing w:line="360" w:lineRule="auto"/>
        <w:jc w:val="both"/>
        <w:rPr>
          <w:rFonts w:ascii="Times New Roman" w:hAnsi="Times New Roman" w:cs="Times New Roman"/>
        </w:rPr>
      </w:pPr>
    </w:p>
    <w:p w14:paraId="7FC43FB0" w14:textId="77777777" w:rsidR="00132671" w:rsidRDefault="00132671" w:rsidP="00E75AD7">
      <w:pPr>
        <w:spacing w:line="360" w:lineRule="auto"/>
        <w:jc w:val="both"/>
        <w:rPr>
          <w:rFonts w:ascii="Times New Roman" w:hAnsi="Times New Roman" w:cs="Times New Roman"/>
        </w:rPr>
      </w:pPr>
    </w:p>
    <w:p w14:paraId="033604E7" w14:textId="77777777" w:rsidR="00132671" w:rsidRDefault="00132671" w:rsidP="00E75AD7">
      <w:pPr>
        <w:spacing w:line="360" w:lineRule="auto"/>
        <w:jc w:val="both"/>
        <w:rPr>
          <w:rFonts w:ascii="Times New Roman" w:hAnsi="Times New Roman" w:cs="Times New Roman"/>
        </w:rPr>
      </w:pPr>
    </w:p>
    <w:p w14:paraId="64EE9702" w14:textId="77777777" w:rsidR="00132671" w:rsidRDefault="00132671" w:rsidP="00E75AD7">
      <w:pPr>
        <w:spacing w:line="360" w:lineRule="auto"/>
        <w:jc w:val="both"/>
        <w:rPr>
          <w:rFonts w:ascii="Times New Roman" w:hAnsi="Times New Roman" w:cs="Times New Roman"/>
        </w:rPr>
      </w:pPr>
    </w:p>
    <w:p w14:paraId="742E3D60" w14:textId="77777777" w:rsidR="00132671" w:rsidRDefault="00132671" w:rsidP="00E75AD7">
      <w:pPr>
        <w:spacing w:line="360" w:lineRule="auto"/>
        <w:jc w:val="both"/>
        <w:rPr>
          <w:rFonts w:ascii="Times New Roman" w:hAnsi="Times New Roman" w:cs="Times New Roman"/>
        </w:rPr>
      </w:pPr>
    </w:p>
    <w:p w14:paraId="5FF81072" w14:textId="77777777" w:rsidR="00132671" w:rsidRDefault="00132671" w:rsidP="00E75AD7">
      <w:pPr>
        <w:spacing w:line="360" w:lineRule="auto"/>
        <w:jc w:val="both"/>
        <w:rPr>
          <w:rFonts w:ascii="Times New Roman" w:hAnsi="Times New Roman" w:cs="Times New Roman"/>
        </w:rPr>
      </w:pPr>
    </w:p>
    <w:p w14:paraId="64E347B6" w14:textId="77777777" w:rsidR="00132671" w:rsidRDefault="00132671" w:rsidP="00132671">
      <w:pPr>
        <w:jc w:val="center"/>
        <w:rPr>
          <w:rFonts w:ascii="Times New Roman" w:hAnsi="Times New Roman" w:cs="Times New Roman"/>
        </w:rPr>
      </w:pPr>
    </w:p>
    <w:p w14:paraId="577D2A53" w14:textId="77777777" w:rsidR="00132671" w:rsidRDefault="00132671" w:rsidP="00E75AD7">
      <w:pPr>
        <w:spacing w:line="360" w:lineRule="auto"/>
        <w:jc w:val="both"/>
        <w:rPr>
          <w:rFonts w:ascii="Times New Roman" w:hAnsi="Times New Roman" w:cs="Times New Roman"/>
        </w:rPr>
      </w:pPr>
    </w:p>
    <w:p w14:paraId="11291D58" w14:textId="7B96E2C7" w:rsidR="00132671" w:rsidRDefault="00132671" w:rsidP="00E75AD7">
      <w:pPr>
        <w:spacing w:line="360" w:lineRule="auto"/>
        <w:jc w:val="both"/>
        <w:rPr>
          <w:rFonts w:ascii="Times New Roman" w:hAnsi="Times New Roman" w:cs="Times New Roman"/>
        </w:rPr>
      </w:pPr>
      <w:r w:rsidRPr="00132671">
        <w:t xml:space="preserve"> </w:t>
      </w:r>
      <w:r>
        <w:t xml:space="preserve">                 </w:t>
      </w:r>
    </w:p>
    <w:p w14:paraId="45A27826" w14:textId="77777777" w:rsidR="00132671" w:rsidRDefault="00132671" w:rsidP="00E75AD7">
      <w:pPr>
        <w:spacing w:line="360" w:lineRule="auto"/>
        <w:jc w:val="both"/>
        <w:rPr>
          <w:rFonts w:ascii="Times New Roman" w:hAnsi="Times New Roman" w:cs="Times New Roman"/>
        </w:rPr>
      </w:pPr>
    </w:p>
    <w:p w14:paraId="5A8F2CE3" w14:textId="77777777" w:rsidR="00132671" w:rsidRDefault="00132671" w:rsidP="00E75AD7">
      <w:pPr>
        <w:spacing w:line="360" w:lineRule="auto"/>
        <w:jc w:val="both"/>
        <w:rPr>
          <w:rFonts w:ascii="Times New Roman" w:hAnsi="Times New Roman" w:cs="Times New Roman"/>
        </w:rPr>
      </w:pPr>
    </w:p>
    <w:p w14:paraId="11A277E4" w14:textId="77777777" w:rsidR="00132671" w:rsidRDefault="00132671" w:rsidP="00E75AD7">
      <w:pPr>
        <w:spacing w:line="360" w:lineRule="auto"/>
        <w:jc w:val="both"/>
        <w:rPr>
          <w:rFonts w:ascii="Times New Roman" w:hAnsi="Times New Roman" w:cs="Times New Roman"/>
        </w:rPr>
      </w:pPr>
    </w:p>
    <w:p w14:paraId="04B4090B" w14:textId="3AF1F0E1" w:rsidR="00132671" w:rsidRDefault="00132671" w:rsidP="00E75AD7">
      <w:pPr>
        <w:spacing w:line="360" w:lineRule="auto"/>
        <w:jc w:val="both"/>
        <w:rPr>
          <w:rFonts w:ascii="Times New Roman" w:hAnsi="Times New Roman" w:cs="Times New Roman"/>
        </w:rPr>
      </w:pPr>
    </w:p>
    <w:p w14:paraId="65C48005" w14:textId="77777777" w:rsidR="00132671" w:rsidRDefault="00132671" w:rsidP="00E75AD7">
      <w:pPr>
        <w:spacing w:line="360" w:lineRule="auto"/>
        <w:jc w:val="both"/>
        <w:rPr>
          <w:rFonts w:ascii="Times New Roman" w:hAnsi="Times New Roman" w:cs="Times New Roman"/>
        </w:rPr>
      </w:pPr>
    </w:p>
    <w:p w14:paraId="71B6E41C" w14:textId="77777777" w:rsidR="00132671" w:rsidRDefault="00132671" w:rsidP="00E75AD7">
      <w:pPr>
        <w:spacing w:line="360" w:lineRule="auto"/>
        <w:jc w:val="both"/>
        <w:rPr>
          <w:rFonts w:ascii="Times New Roman" w:hAnsi="Times New Roman" w:cs="Times New Roman"/>
        </w:rPr>
      </w:pPr>
    </w:p>
    <w:p w14:paraId="65944693" w14:textId="77777777" w:rsidR="00132671" w:rsidRDefault="00132671" w:rsidP="00E75AD7">
      <w:pPr>
        <w:spacing w:line="360" w:lineRule="auto"/>
        <w:jc w:val="both"/>
        <w:rPr>
          <w:rFonts w:ascii="Times New Roman" w:hAnsi="Times New Roman" w:cs="Times New Roman"/>
        </w:rPr>
      </w:pPr>
    </w:p>
    <w:p w14:paraId="1771AD00" w14:textId="77777777" w:rsidR="00132671" w:rsidRDefault="00132671" w:rsidP="00E75AD7">
      <w:pPr>
        <w:spacing w:line="360" w:lineRule="auto"/>
        <w:jc w:val="both"/>
        <w:rPr>
          <w:rFonts w:ascii="Times New Roman" w:hAnsi="Times New Roman" w:cs="Times New Roman"/>
        </w:rPr>
      </w:pPr>
    </w:p>
    <w:p w14:paraId="3A368B42" w14:textId="77777777" w:rsidR="00132671" w:rsidRDefault="00132671" w:rsidP="00E75AD7">
      <w:pPr>
        <w:spacing w:line="360" w:lineRule="auto"/>
        <w:jc w:val="both"/>
        <w:rPr>
          <w:rFonts w:ascii="Times New Roman" w:hAnsi="Times New Roman" w:cs="Times New Roman"/>
        </w:rPr>
      </w:pPr>
    </w:p>
    <w:p w14:paraId="015C2AB0" w14:textId="77777777" w:rsidR="00132671" w:rsidRDefault="00132671" w:rsidP="00E75AD7">
      <w:pPr>
        <w:spacing w:line="360" w:lineRule="auto"/>
        <w:jc w:val="both"/>
        <w:rPr>
          <w:rFonts w:ascii="Times New Roman" w:hAnsi="Times New Roman" w:cs="Times New Roman"/>
        </w:rPr>
      </w:pPr>
    </w:p>
    <w:p w14:paraId="36F59B64" w14:textId="77777777" w:rsidR="00132671" w:rsidRDefault="00132671" w:rsidP="00E75AD7">
      <w:pPr>
        <w:spacing w:line="360" w:lineRule="auto"/>
        <w:jc w:val="both"/>
        <w:rPr>
          <w:rFonts w:ascii="Times New Roman" w:hAnsi="Times New Roman" w:cs="Times New Roman"/>
        </w:rPr>
      </w:pPr>
    </w:p>
    <w:p w14:paraId="32067927" w14:textId="170FBF8E" w:rsidR="00132671" w:rsidRPr="00E75AD7" w:rsidRDefault="00132671" w:rsidP="00E75AD7">
      <w:pPr>
        <w:spacing w:line="360" w:lineRule="auto"/>
        <w:jc w:val="both"/>
        <w:rPr>
          <w:rFonts w:ascii="Times New Roman" w:hAnsi="Times New Roman" w:cs="Times New Roman"/>
        </w:rPr>
      </w:pPr>
    </w:p>
    <w:sectPr w:rsidR="00132671" w:rsidRPr="00E75AD7" w:rsidSect="00096F32">
      <w:pgSz w:w="15840" w:h="12240" w:orient="landscape" w:code="1"/>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2A23"/>
    <w:multiLevelType w:val="hybridMultilevel"/>
    <w:tmpl w:val="802E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A158C"/>
    <w:multiLevelType w:val="hybridMultilevel"/>
    <w:tmpl w:val="1EFA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7368C"/>
    <w:multiLevelType w:val="hybridMultilevel"/>
    <w:tmpl w:val="C5DA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2D6293"/>
    <w:multiLevelType w:val="hybridMultilevel"/>
    <w:tmpl w:val="FFFFFFFF"/>
    <w:lvl w:ilvl="0" w:tplc="FFAAB756">
      <w:start w:val="1"/>
      <w:numFmt w:val="bullet"/>
      <w:lvlText w:val=""/>
      <w:lvlJc w:val="left"/>
      <w:pPr>
        <w:ind w:left="720" w:hanging="360"/>
      </w:pPr>
      <w:rPr>
        <w:rFonts w:ascii="Symbol" w:hAnsi="Symbol" w:hint="default"/>
      </w:rPr>
    </w:lvl>
    <w:lvl w:ilvl="1" w:tplc="FA24F70E">
      <w:start w:val="1"/>
      <w:numFmt w:val="bullet"/>
      <w:lvlText w:val="o"/>
      <w:lvlJc w:val="left"/>
      <w:pPr>
        <w:ind w:left="1440" w:hanging="360"/>
      </w:pPr>
      <w:rPr>
        <w:rFonts w:ascii="Courier New" w:hAnsi="Courier New" w:hint="default"/>
      </w:rPr>
    </w:lvl>
    <w:lvl w:ilvl="2" w:tplc="93AEEC28">
      <w:start w:val="1"/>
      <w:numFmt w:val="bullet"/>
      <w:lvlText w:val=""/>
      <w:lvlJc w:val="left"/>
      <w:pPr>
        <w:ind w:left="2160" w:hanging="360"/>
      </w:pPr>
      <w:rPr>
        <w:rFonts w:ascii="Wingdings" w:hAnsi="Wingdings" w:hint="default"/>
      </w:rPr>
    </w:lvl>
    <w:lvl w:ilvl="3" w:tplc="3B74450A">
      <w:start w:val="1"/>
      <w:numFmt w:val="bullet"/>
      <w:lvlText w:val=""/>
      <w:lvlJc w:val="left"/>
      <w:pPr>
        <w:ind w:left="2880" w:hanging="360"/>
      </w:pPr>
      <w:rPr>
        <w:rFonts w:ascii="Symbol" w:hAnsi="Symbol" w:hint="default"/>
      </w:rPr>
    </w:lvl>
    <w:lvl w:ilvl="4" w:tplc="12C45B1A">
      <w:start w:val="1"/>
      <w:numFmt w:val="bullet"/>
      <w:lvlText w:val="o"/>
      <w:lvlJc w:val="left"/>
      <w:pPr>
        <w:ind w:left="3600" w:hanging="360"/>
      </w:pPr>
      <w:rPr>
        <w:rFonts w:ascii="Courier New" w:hAnsi="Courier New" w:hint="default"/>
      </w:rPr>
    </w:lvl>
    <w:lvl w:ilvl="5" w:tplc="77BC059A">
      <w:start w:val="1"/>
      <w:numFmt w:val="bullet"/>
      <w:lvlText w:val=""/>
      <w:lvlJc w:val="left"/>
      <w:pPr>
        <w:ind w:left="4320" w:hanging="360"/>
      </w:pPr>
      <w:rPr>
        <w:rFonts w:ascii="Wingdings" w:hAnsi="Wingdings" w:hint="default"/>
      </w:rPr>
    </w:lvl>
    <w:lvl w:ilvl="6" w:tplc="32D45ED4">
      <w:start w:val="1"/>
      <w:numFmt w:val="bullet"/>
      <w:lvlText w:val=""/>
      <w:lvlJc w:val="left"/>
      <w:pPr>
        <w:ind w:left="5040" w:hanging="360"/>
      </w:pPr>
      <w:rPr>
        <w:rFonts w:ascii="Symbol" w:hAnsi="Symbol" w:hint="default"/>
      </w:rPr>
    </w:lvl>
    <w:lvl w:ilvl="7" w:tplc="6E96E2A0">
      <w:start w:val="1"/>
      <w:numFmt w:val="bullet"/>
      <w:lvlText w:val="o"/>
      <w:lvlJc w:val="left"/>
      <w:pPr>
        <w:ind w:left="5760" w:hanging="360"/>
      </w:pPr>
      <w:rPr>
        <w:rFonts w:ascii="Courier New" w:hAnsi="Courier New" w:hint="default"/>
      </w:rPr>
    </w:lvl>
    <w:lvl w:ilvl="8" w:tplc="AD66C812">
      <w:start w:val="1"/>
      <w:numFmt w:val="bullet"/>
      <w:lvlText w:val=""/>
      <w:lvlJc w:val="left"/>
      <w:pPr>
        <w:ind w:left="6480" w:hanging="360"/>
      </w:pPr>
      <w:rPr>
        <w:rFonts w:ascii="Wingdings" w:hAnsi="Wingdings" w:hint="default"/>
      </w:rPr>
    </w:lvl>
  </w:abstractNum>
  <w:abstractNum w:abstractNumId="4" w15:restartNumberingAfterBreak="0">
    <w:nsid w:val="625B1815"/>
    <w:multiLevelType w:val="hybridMultilevel"/>
    <w:tmpl w:val="3F900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E53F7"/>
    <w:multiLevelType w:val="hybridMultilevel"/>
    <w:tmpl w:val="D2E2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81495">
    <w:abstractNumId w:val="0"/>
  </w:num>
  <w:num w:numId="2" w16cid:durableId="601574867">
    <w:abstractNumId w:val="1"/>
  </w:num>
  <w:num w:numId="3" w16cid:durableId="44566500">
    <w:abstractNumId w:val="3"/>
  </w:num>
  <w:num w:numId="4" w16cid:durableId="133135257">
    <w:abstractNumId w:val="2"/>
  </w:num>
  <w:num w:numId="5" w16cid:durableId="1226725148">
    <w:abstractNumId w:val="5"/>
  </w:num>
  <w:num w:numId="6" w16cid:durableId="14490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A9"/>
    <w:rsid w:val="00013EED"/>
    <w:rsid w:val="00014461"/>
    <w:rsid w:val="000242F9"/>
    <w:rsid w:val="00031FBD"/>
    <w:rsid w:val="00031FC6"/>
    <w:rsid w:val="00076849"/>
    <w:rsid w:val="00077EC4"/>
    <w:rsid w:val="00096F32"/>
    <w:rsid w:val="000A2AF5"/>
    <w:rsid w:val="000B710D"/>
    <w:rsid w:val="000C3D8B"/>
    <w:rsid w:val="000D1A51"/>
    <w:rsid w:val="000F6BFE"/>
    <w:rsid w:val="00132671"/>
    <w:rsid w:val="00134935"/>
    <w:rsid w:val="001360F9"/>
    <w:rsid w:val="0014630B"/>
    <w:rsid w:val="00173EF4"/>
    <w:rsid w:val="001A5298"/>
    <w:rsid w:val="001B3D17"/>
    <w:rsid w:val="001D6B0C"/>
    <w:rsid w:val="001F2FB3"/>
    <w:rsid w:val="001F3B38"/>
    <w:rsid w:val="00222129"/>
    <w:rsid w:val="0025366B"/>
    <w:rsid w:val="002866A8"/>
    <w:rsid w:val="00287495"/>
    <w:rsid w:val="00287498"/>
    <w:rsid w:val="002A01F4"/>
    <w:rsid w:val="002A0E87"/>
    <w:rsid w:val="002B3585"/>
    <w:rsid w:val="002E5AF0"/>
    <w:rsid w:val="002F545B"/>
    <w:rsid w:val="003229DD"/>
    <w:rsid w:val="003359E0"/>
    <w:rsid w:val="00341FF3"/>
    <w:rsid w:val="003500EB"/>
    <w:rsid w:val="00363BAA"/>
    <w:rsid w:val="00365BCB"/>
    <w:rsid w:val="003D26AE"/>
    <w:rsid w:val="003D305A"/>
    <w:rsid w:val="003D3B7A"/>
    <w:rsid w:val="003D5D5F"/>
    <w:rsid w:val="0040746A"/>
    <w:rsid w:val="00407F3C"/>
    <w:rsid w:val="004359B8"/>
    <w:rsid w:val="004561F3"/>
    <w:rsid w:val="00465303"/>
    <w:rsid w:val="004662C0"/>
    <w:rsid w:val="00472E94"/>
    <w:rsid w:val="004843A5"/>
    <w:rsid w:val="004A6C08"/>
    <w:rsid w:val="004C041F"/>
    <w:rsid w:val="004C223E"/>
    <w:rsid w:val="004E2D09"/>
    <w:rsid w:val="004F0753"/>
    <w:rsid w:val="005017FC"/>
    <w:rsid w:val="00505355"/>
    <w:rsid w:val="00526735"/>
    <w:rsid w:val="00551EBE"/>
    <w:rsid w:val="00553C97"/>
    <w:rsid w:val="005933D6"/>
    <w:rsid w:val="005A1265"/>
    <w:rsid w:val="005C1723"/>
    <w:rsid w:val="005E3777"/>
    <w:rsid w:val="005F5CDA"/>
    <w:rsid w:val="006008EE"/>
    <w:rsid w:val="00605904"/>
    <w:rsid w:val="00610976"/>
    <w:rsid w:val="00627DC8"/>
    <w:rsid w:val="00641CA8"/>
    <w:rsid w:val="006958D0"/>
    <w:rsid w:val="006A07FA"/>
    <w:rsid w:val="006A3740"/>
    <w:rsid w:val="006C2AFC"/>
    <w:rsid w:val="00712050"/>
    <w:rsid w:val="00733062"/>
    <w:rsid w:val="00736CC4"/>
    <w:rsid w:val="00747C78"/>
    <w:rsid w:val="00770DBB"/>
    <w:rsid w:val="0077327A"/>
    <w:rsid w:val="00784B3D"/>
    <w:rsid w:val="007A1522"/>
    <w:rsid w:val="007C7296"/>
    <w:rsid w:val="007F19D2"/>
    <w:rsid w:val="008155F9"/>
    <w:rsid w:val="00827FF9"/>
    <w:rsid w:val="00836EBB"/>
    <w:rsid w:val="00843D75"/>
    <w:rsid w:val="00895DB7"/>
    <w:rsid w:val="008A3904"/>
    <w:rsid w:val="008A4228"/>
    <w:rsid w:val="008C3EC5"/>
    <w:rsid w:val="00902663"/>
    <w:rsid w:val="009035E3"/>
    <w:rsid w:val="00925DAF"/>
    <w:rsid w:val="00926FA9"/>
    <w:rsid w:val="0093112F"/>
    <w:rsid w:val="0095048E"/>
    <w:rsid w:val="0095079C"/>
    <w:rsid w:val="00991793"/>
    <w:rsid w:val="009B5CC9"/>
    <w:rsid w:val="009C5405"/>
    <w:rsid w:val="009C7CA5"/>
    <w:rsid w:val="00A27759"/>
    <w:rsid w:val="00A3245F"/>
    <w:rsid w:val="00A36980"/>
    <w:rsid w:val="00A91298"/>
    <w:rsid w:val="00AA5108"/>
    <w:rsid w:val="00AA5974"/>
    <w:rsid w:val="00AE143D"/>
    <w:rsid w:val="00AE5999"/>
    <w:rsid w:val="00B04F7D"/>
    <w:rsid w:val="00B1556D"/>
    <w:rsid w:val="00B66CC4"/>
    <w:rsid w:val="00B71799"/>
    <w:rsid w:val="00BA5DE7"/>
    <w:rsid w:val="00BD6C3C"/>
    <w:rsid w:val="00BE1F57"/>
    <w:rsid w:val="00BE6EBD"/>
    <w:rsid w:val="00BF555F"/>
    <w:rsid w:val="00C15A4E"/>
    <w:rsid w:val="00C3764B"/>
    <w:rsid w:val="00C41EED"/>
    <w:rsid w:val="00C424D4"/>
    <w:rsid w:val="00C72925"/>
    <w:rsid w:val="00C80019"/>
    <w:rsid w:val="00C80496"/>
    <w:rsid w:val="00C936E3"/>
    <w:rsid w:val="00CA6168"/>
    <w:rsid w:val="00CB3B02"/>
    <w:rsid w:val="00CC2EAA"/>
    <w:rsid w:val="00D24F42"/>
    <w:rsid w:val="00D4045A"/>
    <w:rsid w:val="00D40634"/>
    <w:rsid w:val="00D42586"/>
    <w:rsid w:val="00DD282B"/>
    <w:rsid w:val="00DE2C36"/>
    <w:rsid w:val="00E04EDA"/>
    <w:rsid w:val="00E3235D"/>
    <w:rsid w:val="00E43AC1"/>
    <w:rsid w:val="00E74126"/>
    <w:rsid w:val="00E75AD7"/>
    <w:rsid w:val="00E94E99"/>
    <w:rsid w:val="00EA29E8"/>
    <w:rsid w:val="00EA3F9A"/>
    <w:rsid w:val="00EC611D"/>
    <w:rsid w:val="00ED4CA4"/>
    <w:rsid w:val="00EE3C85"/>
    <w:rsid w:val="00EE541B"/>
    <w:rsid w:val="00F11F6A"/>
    <w:rsid w:val="00F24B60"/>
    <w:rsid w:val="00F25CD8"/>
    <w:rsid w:val="00F475F2"/>
    <w:rsid w:val="00F654DA"/>
    <w:rsid w:val="00F8154E"/>
    <w:rsid w:val="00FA59EB"/>
    <w:rsid w:val="00FD692B"/>
    <w:rsid w:val="00FF20DE"/>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8D8B"/>
  <w15:chartTrackingRefBased/>
  <w15:docId w15:val="{24CCE1DD-0D97-430F-95E1-AF2E5C1C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2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FA9"/>
    <w:rPr>
      <w:rFonts w:eastAsiaTheme="majorEastAsia" w:cstheme="majorBidi"/>
      <w:color w:val="272727" w:themeColor="text1" w:themeTint="D8"/>
    </w:rPr>
  </w:style>
  <w:style w:type="paragraph" w:styleId="Title">
    <w:name w:val="Title"/>
    <w:basedOn w:val="Normal"/>
    <w:next w:val="Normal"/>
    <w:link w:val="TitleChar"/>
    <w:uiPriority w:val="10"/>
    <w:qFormat/>
    <w:rsid w:val="0092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FA9"/>
    <w:pPr>
      <w:spacing w:before="160"/>
      <w:jc w:val="center"/>
    </w:pPr>
    <w:rPr>
      <w:i/>
      <w:iCs/>
      <w:color w:val="404040" w:themeColor="text1" w:themeTint="BF"/>
    </w:rPr>
  </w:style>
  <w:style w:type="character" w:customStyle="1" w:styleId="QuoteChar">
    <w:name w:val="Quote Char"/>
    <w:basedOn w:val="DefaultParagraphFont"/>
    <w:link w:val="Quote"/>
    <w:uiPriority w:val="29"/>
    <w:rsid w:val="00926FA9"/>
    <w:rPr>
      <w:i/>
      <w:iCs/>
      <w:color w:val="404040" w:themeColor="text1" w:themeTint="BF"/>
    </w:rPr>
  </w:style>
  <w:style w:type="paragraph" w:styleId="ListParagraph">
    <w:name w:val="List Paragraph"/>
    <w:basedOn w:val="Normal"/>
    <w:uiPriority w:val="34"/>
    <w:qFormat/>
    <w:rsid w:val="00926FA9"/>
    <w:pPr>
      <w:ind w:left="720"/>
      <w:contextualSpacing/>
    </w:pPr>
  </w:style>
  <w:style w:type="character" w:styleId="IntenseEmphasis">
    <w:name w:val="Intense Emphasis"/>
    <w:basedOn w:val="DefaultParagraphFont"/>
    <w:uiPriority w:val="21"/>
    <w:qFormat/>
    <w:rsid w:val="00926FA9"/>
    <w:rPr>
      <w:i/>
      <w:iCs/>
      <w:color w:val="0F4761" w:themeColor="accent1" w:themeShade="BF"/>
    </w:rPr>
  </w:style>
  <w:style w:type="paragraph" w:styleId="IntenseQuote">
    <w:name w:val="Intense Quote"/>
    <w:basedOn w:val="Normal"/>
    <w:next w:val="Normal"/>
    <w:link w:val="IntenseQuoteChar"/>
    <w:uiPriority w:val="30"/>
    <w:qFormat/>
    <w:rsid w:val="0092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FA9"/>
    <w:rPr>
      <w:i/>
      <w:iCs/>
      <w:color w:val="0F4761" w:themeColor="accent1" w:themeShade="BF"/>
    </w:rPr>
  </w:style>
  <w:style w:type="character" w:styleId="IntenseReference">
    <w:name w:val="Intense Reference"/>
    <w:basedOn w:val="DefaultParagraphFont"/>
    <w:uiPriority w:val="32"/>
    <w:qFormat/>
    <w:rsid w:val="00926FA9"/>
    <w:rPr>
      <w:b/>
      <w:bCs/>
      <w:smallCaps/>
      <w:color w:val="0F4761" w:themeColor="accent1" w:themeShade="BF"/>
      <w:spacing w:val="5"/>
    </w:rPr>
  </w:style>
  <w:style w:type="table" w:styleId="TableGrid">
    <w:name w:val="Table Grid"/>
    <w:basedOn w:val="TableNormal"/>
    <w:uiPriority w:val="39"/>
    <w:rsid w:val="0092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6F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05904"/>
    <w:rPr>
      <w:sz w:val="16"/>
      <w:szCs w:val="16"/>
    </w:rPr>
  </w:style>
  <w:style w:type="paragraph" w:styleId="CommentText">
    <w:name w:val="annotation text"/>
    <w:basedOn w:val="Normal"/>
    <w:link w:val="CommentTextChar"/>
    <w:uiPriority w:val="99"/>
    <w:unhideWhenUsed/>
    <w:rsid w:val="00605904"/>
    <w:pPr>
      <w:spacing w:line="240" w:lineRule="auto"/>
    </w:pPr>
    <w:rPr>
      <w:sz w:val="20"/>
      <w:szCs w:val="20"/>
    </w:rPr>
  </w:style>
  <w:style w:type="character" w:customStyle="1" w:styleId="CommentTextChar">
    <w:name w:val="Comment Text Char"/>
    <w:basedOn w:val="DefaultParagraphFont"/>
    <w:link w:val="CommentText"/>
    <w:uiPriority w:val="99"/>
    <w:rsid w:val="00605904"/>
    <w:rPr>
      <w:noProof/>
      <w:sz w:val="20"/>
      <w:szCs w:val="20"/>
    </w:rPr>
  </w:style>
  <w:style w:type="paragraph" w:styleId="CommentSubject">
    <w:name w:val="annotation subject"/>
    <w:basedOn w:val="CommentText"/>
    <w:next w:val="CommentText"/>
    <w:link w:val="CommentSubjectChar"/>
    <w:uiPriority w:val="99"/>
    <w:semiHidden/>
    <w:unhideWhenUsed/>
    <w:rsid w:val="00605904"/>
    <w:rPr>
      <w:b/>
      <w:bCs/>
    </w:rPr>
  </w:style>
  <w:style w:type="character" w:customStyle="1" w:styleId="CommentSubjectChar">
    <w:name w:val="Comment Subject Char"/>
    <w:basedOn w:val="CommentTextChar"/>
    <w:link w:val="CommentSubject"/>
    <w:uiPriority w:val="99"/>
    <w:semiHidden/>
    <w:rsid w:val="00605904"/>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16</Pages>
  <Words>2201</Words>
  <Characters>15409</Characters>
  <Application>Microsoft Office Word</Application>
  <DocSecurity>0</DocSecurity>
  <Lines>716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6</cp:revision>
  <cp:lastPrinted>2025-12-25T02:46:00Z</cp:lastPrinted>
  <dcterms:created xsi:type="dcterms:W3CDTF">2025-12-25T07:44:00Z</dcterms:created>
  <dcterms:modified xsi:type="dcterms:W3CDTF">2026-01-21T07:44:00Z</dcterms:modified>
</cp:coreProperties>
</file>