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899" w:rsidRPr="001173E2" w:rsidRDefault="008C4899" w:rsidP="008C4899">
      <w:pPr>
        <w:spacing w:after="0" w:line="240" w:lineRule="auto"/>
        <w:jc w:val="center"/>
        <w:rPr>
          <w:rFonts w:ascii="Times New Roman" w:hAnsi="Times New Roman" w:cs="Times New Roman"/>
          <w:b/>
          <w:bCs/>
          <w:lang w:val="mn-MN" w:bidi="mn-Mong-CN"/>
        </w:rPr>
      </w:pPr>
      <w:bookmarkStart w:id="0" w:name="_Hlk156499108"/>
      <w:r w:rsidRPr="001173E2">
        <w:rPr>
          <w:rFonts w:ascii="Times New Roman" w:hAnsi="Times New Roman" w:cs="Times New Roman"/>
          <w:b/>
          <w:bCs/>
          <w:lang w:val="mn-MN" w:bidi="mn-Mong-CN"/>
        </w:rPr>
        <w:t>МОНГОЛ УЛСЫН ЗАСГИЙН ГАЗРЫН 2020-2024 ОНЫ ҮЙЛ АЖИЛЛАГААНЫ ХӨТӨЛБӨРИЙГ ХЭРЭГЖҮҮЛЭХ</w:t>
      </w:r>
    </w:p>
    <w:p w:rsidR="008C4899" w:rsidRPr="001173E2" w:rsidRDefault="008C4899" w:rsidP="008C4899">
      <w:pPr>
        <w:spacing w:after="0" w:line="240" w:lineRule="auto"/>
        <w:jc w:val="center"/>
        <w:rPr>
          <w:rFonts w:ascii="Times New Roman" w:hAnsi="Times New Roman" w:cs="Times New Roman"/>
          <w:lang w:val="mn-MN" w:bidi="mn-Mong-CN"/>
        </w:rPr>
      </w:pPr>
      <w:r w:rsidRPr="001173E2">
        <w:rPr>
          <w:rFonts w:ascii="Times New Roman" w:hAnsi="Times New Roman" w:cs="Times New Roman"/>
          <w:b/>
          <w:bCs/>
          <w:lang w:val="mn-MN" w:bidi="mn-Mong-CN"/>
        </w:rPr>
        <w:t xml:space="preserve"> АРГА ХЭМЖЭЭНИЙ ТӨЛӨВЛӨГӨӨНИЙ 202</w:t>
      </w:r>
      <w:r w:rsidR="00E71E64" w:rsidRPr="001173E2">
        <w:rPr>
          <w:rFonts w:ascii="Times New Roman" w:hAnsi="Times New Roman" w:cs="Times New Roman"/>
          <w:b/>
          <w:bCs/>
          <w:lang w:val="mn-MN" w:bidi="mn-Mong-CN"/>
        </w:rPr>
        <w:t>1</w:t>
      </w:r>
      <w:r w:rsidRPr="001173E2">
        <w:rPr>
          <w:rFonts w:ascii="Times New Roman" w:hAnsi="Times New Roman" w:cs="Times New Roman"/>
          <w:b/>
          <w:bCs/>
          <w:lang w:val="mn-MN" w:bidi="mn-Mong-CN"/>
        </w:rPr>
        <w:t xml:space="preserve"> ОНЫ ХЭРЭГЖИЛТ</w:t>
      </w:r>
    </w:p>
    <w:p w:rsidR="008C4899" w:rsidRPr="001173E2" w:rsidRDefault="008C4899" w:rsidP="008C4899">
      <w:pPr>
        <w:spacing w:after="0" w:line="240" w:lineRule="auto"/>
        <w:jc w:val="center"/>
        <w:rPr>
          <w:rFonts w:ascii="Times New Roman" w:hAnsi="Times New Roman" w:cs="Times New Roman"/>
          <w:lang w:val="mn-MN" w:bidi="mn-Mong-CN"/>
        </w:rPr>
      </w:pPr>
    </w:p>
    <w:tbl>
      <w:tblPr>
        <w:tblStyle w:val="TableGrid"/>
        <w:tblW w:w="14601" w:type="dxa"/>
        <w:tblInd w:w="-998" w:type="dxa"/>
        <w:tblLayout w:type="fixed"/>
        <w:tblLook w:val="04A0" w:firstRow="1" w:lastRow="0" w:firstColumn="1" w:lastColumn="0" w:noHBand="0" w:noVBand="1"/>
      </w:tblPr>
      <w:tblGrid>
        <w:gridCol w:w="567"/>
        <w:gridCol w:w="852"/>
        <w:gridCol w:w="567"/>
        <w:gridCol w:w="141"/>
        <w:gridCol w:w="567"/>
        <w:gridCol w:w="851"/>
        <w:gridCol w:w="850"/>
        <w:gridCol w:w="993"/>
        <w:gridCol w:w="1559"/>
        <w:gridCol w:w="1417"/>
        <w:gridCol w:w="851"/>
        <w:gridCol w:w="850"/>
        <w:gridCol w:w="4536"/>
      </w:tblGrid>
      <w:tr w:rsidR="008C4899" w:rsidRPr="001173E2" w:rsidTr="00FF1BBA">
        <w:trPr>
          <w:trHeight w:val="850"/>
        </w:trPr>
        <w:tc>
          <w:tcPr>
            <w:tcW w:w="567" w:type="dxa"/>
            <w:vMerge w:val="restart"/>
            <w:vAlign w:val="center"/>
          </w:tcPr>
          <w:p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w:t>
            </w:r>
          </w:p>
        </w:tc>
        <w:tc>
          <w:tcPr>
            <w:tcW w:w="852" w:type="dxa"/>
            <w:vMerge w:val="restart"/>
            <w:tcBorders>
              <w:top w:val="single" w:sz="8" w:space="0" w:color="000000"/>
              <w:left w:val="single" w:sz="8" w:space="0" w:color="auto"/>
              <w:right w:val="nil"/>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r w:rsidRPr="001173E2">
              <w:rPr>
                <w:rFonts w:ascii="Times New Roman" w:hAnsi="Times New Roman" w:cs="Times New Roman"/>
              </w:rPr>
              <w:t xml:space="preserve">ХБТББ*-т </w:t>
            </w:r>
            <w:proofErr w:type="spellStart"/>
            <w:r w:rsidRPr="001173E2">
              <w:rPr>
                <w:rFonts w:ascii="Times New Roman" w:hAnsi="Times New Roman" w:cs="Times New Roman"/>
              </w:rPr>
              <w:t>тусгагдсан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зорилт</w:t>
            </w:r>
            <w:proofErr w:type="spellEnd"/>
          </w:p>
          <w:p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үйл</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ажиллагаа</w:t>
            </w:r>
            <w:proofErr w:type="spellEnd"/>
          </w:p>
        </w:tc>
        <w:tc>
          <w:tcPr>
            <w:tcW w:w="708" w:type="dxa"/>
            <w:gridSpan w:val="2"/>
            <w:vMerge w:val="restart"/>
            <w:tcBorders>
              <w:top w:val="single" w:sz="8" w:space="0" w:color="000000"/>
              <w:left w:val="single" w:sz="8" w:space="0" w:color="auto"/>
              <w:right w:val="nil"/>
            </w:tcBorders>
            <w:shd w:val="clear" w:color="auto" w:fill="auto"/>
            <w:textDirection w:val="btLr"/>
          </w:tcPr>
          <w:p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Зорилтыг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хэрэгжүүлэх</w:t>
            </w:r>
            <w:proofErr w:type="spellEnd"/>
          </w:p>
          <w:p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арга</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хэмжээ</w:t>
            </w:r>
            <w:proofErr w:type="spellEnd"/>
            <w:r w:rsidRPr="001173E2">
              <w:rPr>
                <w:rFonts w:ascii="Times New Roman" w:hAnsi="Times New Roman" w:cs="Times New Roman"/>
              </w:rPr>
              <w:t>**</w:t>
            </w:r>
          </w:p>
        </w:tc>
        <w:tc>
          <w:tcPr>
            <w:tcW w:w="567" w:type="dxa"/>
            <w:vMerge w:val="restart"/>
            <w:tcBorders>
              <w:top w:val="single" w:sz="8" w:space="0" w:color="000000"/>
              <w:left w:val="single" w:sz="8" w:space="0" w:color="auto"/>
              <w:right w:val="nil"/>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Хэрэгжих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хугацаа</w:t>
            </w:r>
            <w:proofErr w:type="spellEnd"/>
          </w:p>
        </w:tc>
        <w:tc>
          <w:tcPr>
            <w:tcW w:w="851" w:type="dxa"/>
            <w:vMerge w:val="restart"/>
            <w:tcBorders>
              <w:top w:val="single" w:sz="8" w:space="0" w:color="000000"/>
              <w:left w:val="single" w:sz="8" w:space="0" w:color="auto"/>
              <w:right w:val="nil"/>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Үндсэн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хэрэгжүүлэх</w:t>
            </w:r>
            <w:proofErr w:type="spellEnd"/>
            <w:r w:rsidRPr="001173E2">
              <w:rPr>
                <w:rFonts w:ascii="Times New Roman" w:hAnsi="Times New Roman" w:cs="Times New Roman"/>
              </w:rPr>
              <w:t xml:space="preserve"> </w:t>
            </w:r>
          </w:p>
          <w:p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байгууллага</w:t>
            </w:r>
            <w:proofErr w:type="spellEnd"/>
          </w:p>
        </w:tc>
        <w:tc>
          <w:tcPr>
            <w:tcW w:w="850" w:type="dxa"/>
            <w:vMerge w:val="restart"/>
            <w:tcBorders>
              <w:top w:val="single" w:sz="8" w:space="0" w:color="000000"/>
              <w:left w:val="single" w:sz="8" w:space="0" w:color="auto"/>
              <w:right w:val="nil"/>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Эх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үүсвэр</w:t>
            </w:r>
            <w:proofErr w:type="spellEnd"/>
          </w:p>
        </w:tc>
        <w:tc>
          <w:tcPr>
            <w:tcW w:w="993" w:type="dxa"/>
            <w:vMerge w:val="restart"/>
            <w:tcBorders>
              <w:top w:val="single" w:sz="8" w:space="0" w:color="000000"/>
              <w:left w:val="single" w:sz="8" w:space="0" w:color="auto"/>
              <w:right w:val="single" w:sz="8" w:space="0" w:color="auto"/>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Нийт</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хөрөнгийн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хэмжээ</w:t>
            </w:r>
            <w:proofErr w:type="spellEnd"/>
            <w:r w:rsidRPr="001173E2">
              <w:rPr>
                <w:rFonts w:ascii="Times New Roman" w:hAnsi="Times New Roman" w:cs="Times New Roman"/>
              </w:rPr>
              <w:t xml:space="preserve"> </w:t>
            </w:r>
          </w:p>
          <w:p w:rsidR="008C4899" w:rsidRPr="001173E2" w:rsidRDefault="008C4899" w:rsidP="00FF1BBA">
            <w:pPr>
              <w:ind w:left="-57" w:right="-57"/>
              <w:jc w:val="center"/>
              <w:rPr>
                <w:rFonts w:ascii="Times New Roman" w:hAnsi="Times New Roman" w:cs="Times New Roman"/>
              </w:rPr>
            </w:pPr>
            <w:r w:rsidRPr="001173E2">
              <w:rPr>
                <w:rFonts w:ascii="Times New Roman" w:hAnsi="Times New Roman" w:cs="Times New Roman"/>
              </w:rPr>
              <w:t>(</w:t>
            </w:r>
            <w:proofErr w:type="spellStart"/>
            <w:r w:rsidRPr="001173E2">
              <w:rPr>
                <w:rFonts w:ascii="Times New Roman" w:hAnsi="Times New Roman" w:cs="Times New Roman"/>
              </w:rPr>
              <w:t>сая</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төгрөг</w:t>
            </w:r>
            <w:proofErr w:type="spellEnd"/>
            <w:r w:rsidRPr="001173E2">
              <w:rPr>
                <w:rFonts w:ascii="Times New Roman" w:hAnsi="Times New Roman" w:cs="Times New Roman"/>
              </w:rPr>
              <w:t>)</w:t>
            </w:r>
          </w:p>
        </w:tc>
        <w:tc>
          <w:tcPr>
            <w:tcW w:w="1559" w:type="dxa"/>
            <w:vMerge w:val="restart"/>
            <w:tcBorders>
              <w:top w:val="single" w:sz="8" w:space="0" w:color="000000"/>
              <w:left w:val="single" w:sz="8" w:space="0" w:color="auto"/>
              <w:right w:val="single" w:sz="8" w:space="0" w:color="auto"/>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Суурь</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түвшин</w:t>
            </w:r>
            <w:proofErr w:type="spellEnd"/>
          </w:p>
        </w:tc>
        <w:tc>
          <w:tcPr>
            <w:tcW w:w="3118" w:type="dxa"/>
            <w:gridSpan w:val="3"/>
            <w:tcBorders>
              <w:top w:val="single" w:sz="8" w:space="0" w:color="000000"/>
              <w:left w:val="single" w:sz="8" w:space="0" w:color="auto"/>
              <w:bottom w:val="single" w:sz="8" w:space="0" w:color="auto"/>
              <w:right w:val="nil"/>
            </w:tcBorders>
            <w:shd w:val="clear" w:color="auto" w:fill="auto"/>
          </w:tcPr>
          <w:p w:rsidR="008C4899" w:rsidRPr="001173E2" w:rsidRDefault="008C4899" w:rsidP="00FF1BBA">
            <w:pPr>
              <w:ind w:left="-57" w:right="-57"/>
              <w:jc w:val="center"/>
              <w:rPr>
                <w:rFonts w:ascii="Times New Roman" w:hAnsi="Times New Roman" w:cs="Times New Roman"/>
              </w:rPr>
            </w:pPr>
            <w:proofErr w:type="spellStart"/>
            <w:r w:rsidRPr="001173E2">
              <w:rPr>
                <w:rFonts w:ascii="Times New Roman" w:hAnsi="Times New Roman" w:cs="Times New Roman"/>
              </w:rPr>
              <w:t>Зорилтот</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түвшин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дүн</w:t>
            </w:r>
            <w:proofErr w:type="spellEnd"/>
            <w:proofErr w:type="gramStart"/>
            <w:r w:rsidRPr="001173E2">
              <w:rPr>
                <w:rFonts w:ascii="Times New Roman" w:hAnsi="Times New Roman" w:cs="Times New Roman"/>
              </w:rPr>
              <w:t xml:space="preserve">   (</w:t>
            </w:r>
            <w:proofErr w:type="spellStart"/>
            <w:proofErr w:type="gramEnd"/>
            <w:r w:rsidRPr="001173E2">
              <w:rPr>
                <w:rFonts w:ascii="Times New Roman" w:hAnsi="Times New Roman" w:cs="Times New Roman"/>
              </w:rPr>
              <w:t>хөрөнгийн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хэмжээ</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эх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үүсвэр</w:t>
            </w:r>
            <w:proofErr w:type="spellEnd"/>
            <w:r w:rsidRPr="001173E2">
              <w:rPr>
                <w:rFonts w:ascii="Times New Roman" w:hAnsi="Times New Roman" w:cs="Times New Roman"/>
              </w:rPr>
              <w:t>)</w:t>
            </w:r>
          </w:p>
        </w:tc>
        <w:tc>
          <w:tcPr>
            <w:tcW w:w="4536" w:type="dxa"/>
            <w:vMerge w:val="restart"/>
            <w:vAlign w:val="center"/>
          </w:tcPr>
          <w:p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Хэрэгжилт</w:t>
            </w:r>
          </w:p>
        </w:tc>
      </w:tr>
      <w:tr w:rsidR="008C4899" w:rsidRPr="001173E2" w:rsidTr="00FF1BBA">
        <w:trPr>
          <w:trHeight w:val="1975"/>
        </w:trPr>
        <w:tc>
          <w:tcPr>
            <w:tcW w:w="567" w:type="dxa"/>
            <w:vMerge/>
            <w:vAlign w:val="center"/>
          </w:tcPr>
          <w:p w:rsidR="008C4899" w:rsidRPr="001173E2" w:rsidRDefault="008C4899" w:rsidP="00FF1BBA">
            <w:pPr>
              <w:ind w:left="-57" w:right="-57"/>
              <w:jc w:val="center"/>
              <w:rPr>
                <w:rFonts w:ascii="Times New Roman" w:hAnsi="Times New Roman" w:cs="Times New Roman"/>
                <w:lang w:val="mn-MN" w:bidi="mn-Mong-CN"/>
              </w:rPr>
            </w:pPr>
          </w:p>
        </w:tc>
        <w:tc>
          <w:tcPr>
            <w:tcW w:w="852" w:type="dxa"/>
            <w:vMerge/>
            <w:tcBorders>
              <w:left w:val="single" w:sz="8" w:space="0" w:color="auto"/>
              <w:bottom w:val="single" w:sz="8" w:space="0" w:color="000000"/>
              <w:right w:val="nil"/>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
        </w:tc>
        <w:tc>
          <w:tcPr>
            <w:tcW w:w="708" w:type="dxa"/>
            <w:gridSpan w:val="2"/>
            <w:vMerge/>
            <w:tcBorders>
              <w:left w:val="single" w:sz="8" w:space="0" w:color="auto"/>
              <w:bottom w:val="single" w:sz="8" w:space="0" w:color="000000"/>
              <w:right w:val="nil"/>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
        </w:tc>
        <w:tc>
          <w:tcPr>
            <w:tcW w:w="567" w:type="dxa"/>
            <w:vMerge/>
            <w:tcBorders>
              <w:left w:val="single" w:sz="8" w:space="0" w:color="auto"/>
              <w:bottom w:val="single" w:sz="8" w:space="0" w:color="000000"/>
              <w:right w:val="nil"/>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
        </w:tc>
        <w:tc>
          <w:tcPr>
            <w:tcW w:w="851" w:type="dxa"/>
            <w:vMerge/>
            <w:tcBorders>
              <w:left w:val="single" w:sz="8" w:space="0" w:color="auto"/>
              <w:bottom w:val="single" w:sz="8" w:space="0" w:color="000000"/>
              <w:right w:val="nil"/>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
        </w:tc>
        <w:tc>
          <w:tcPr>
            <w:tcW w:w="850" w:type="dxa"/>
            <w:vMerge/>
            <w:tcBorders>
              <w:left w:val="single" w:sz="8" w:space="0" w:color="auto"/>
              <w:bottom w:val="single" w:sz="8" w:space="0" w:color="000000"/>
              <w:right w:val="nil"/>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
        </w:tc>
        <w:tc>
          <w:tcPr>
            <w:tcW w:w="993" w:type="dxa"/>
            <w:vMerge/>
            <w:tcBorders>
              <w:left w:val="single" w:sz="8" w:space="0" w:color="auto"/>
              <w:bottom w:val="single" w:sz="8" w:space="0" w:color="000000"/>
              <w:right w:val="single" w:sz="8" w:space="0" w:color="auto"/>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
        </w:tc>
        <w:tc>
          <w:tcPr>
            <w:tcW w:w="1559" w:type="dxa"/>
            <w:vMerge/>
            <w:tcBorders>
              <w:left w:val="single" w:sz="8" w:space="0" w:color="auto"/>
              <w:bottom w:val="single" w:sz="8" w:space="0" w:color="000000"/>
              <w:right w:val="single" w:sz="8" w:space="0" w:color="auto"/>
            </w:tcBorders>
            <w:shd w:val="clear" w:color="auto" w:fill="auto"/>
            <w:textDirection w:val="btLr"/>
            <w:vAlign w:val="center"/>
          </w:tcPr>
          <w:p w:rsidR="008C4899" w:rsidRPr="001173E2" w:rsidRDefault="008C4899" w:rsidP="00FF1BBA">
            <w:pPr>
              <w:ind w:left="-57" w:right="-57"/>
              <w:jc w:val="center"/>
              <w:rPr>
                <w:rFonts w:ascii="Times New Roman" w:hAnsi="Times New Roman" w:cs="Times New Roman"/>
              </w:rPr>
            </w:pPr>
          </w:p>
        </w:tc>
        <w:tc>
          <w:tcPr>
            <w:tcW w:w="1417" w:type="dxa"/>
            <w:tcBorders>
              <w:top w:val="single" w:sz="8" w:space="0" w:color="auto"/>
              <w:left w:val="single" w:sz="8" w:space="0" w:color="auto"/>
              <w:bottom w:val="single" w:sz="8" w:space="0" w:color="auto"/>
              <w:right w:val="single" w:sz="8" w:space="0" w:color="000000"/>
            </w:tcBorders>
            <w:shd w:val="clear" w:color="auto" w:fill="auto"/>
          </w:tcPr>
          <w:p w:rsidR="008C4899" w:rsidRPr="001173E2" w:rsidRDefault="008C4899" w:rsidP="00FF1BBA">
            <w:pPr>
              <w:ind w:left="-57" w:right="-57"/>
              <w:rPr>
                <w:rFonts w:ascii="Times New Roman" w:hAnsi="Times New Roman" w:cs="Times New Roman"/>
              </w:rPr>
            </w:pPr>
            <w:proofErr w:type="spellStart"/>
            <w:r w:rsidRPr="001173E2">
              <w:rPr>
                <w:rFonts w:ascii="Times New Roman" w:hAnsi="Times New Roman" w:cs="Times New Roman"/>
              </w:rPr>
              <w:t>Зорилтот</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түвшин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дүнгийн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үзүүлэлт</w:t>
            </w:r>
            <w:proofErr w:type="spellEnd"/>
          </w:p>
        </w:tc>
        <w:tc>
          <w:tcPr>
            <w:tcW w:w="851" w:type="dxa"/>
            <w:tcBorders>
              <w:top w:val="nil"/>
              <w:left w:val="nil"/>
              <w:bottom w:val="single" w:sz="8" w:space="0" w:color="auto"/>
              <w:right w:val="single" w:sz="8" w:space="0" w:color="auto"/>
            </w:tcBorders>
            <w:shd w:val="clear" w:color="auto" w:fill="auto"/>
          </w:tcPr>
          <w:p w:rsidR="008C4899" w:rsidRPr="001173E2" w:rsidRDefault="008C4899" w:rsidP="00FF1BBA">
            <w:pPr>
              <w:ind w:left="-57" w:right="-57"/>
              <w:rPr>
                <w:rFonts w:ascii="Times New Roman" w:hAnsi="Times New Roman" w:cs="Times New Roman"/>
              </w:rPr>
            </w:pPr>
            <w:proofErr w:type="spellStart"/>
            <w:r w:rsidRPr="001173E2">
              <w:rPr>
                <w:rFonts w:ascii="Times New Roman" w:hAnsi="Times New Roman" w:cs="Times New Roman"/>
              </w:rPr>
              <w:t>Төсөв</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сая</w:t>
            </w:r>
            <w:proofErr w:type="spellEnd"/>
          </w:p>
          <w:p w:rsidR="008C4899" w:rsidRPr="001173E2" w:rsidRDefault="008C4899" w:rsidP="00FF1BBA">
            <w:pPr>
              <w:ind w:left="-57" w:right="-57"/>
              <w:rPr>
                <w:rFonts w:ascii="Times New Roman" w:hAnsi="Times New Roman" w:cs="Times New Roman"/>
              </w:rPr>
            </w:pPr>
            <w:proofErr w:type="spellStart"/>
            <w:r w:rsidRPr="001173E2">
              <w:rPr>
                <w:rFonts w:ascii="Times New Roman" w:hAnsi="Times New Roman" w:cs="Times New Roman"/>
              </w:rPr>
              <w:t>төг</w:t>
            </w:r>
            <w:proofErr w:type="spellEnd"/>
          </w:p>
        </w:tc>
        <w:tc>
          <w:tcPr>
            <w:tcW w:w="850" w:type="dxa"/>
            <w:tcBorders>
              <w:top w:val="single" w:sz="8" w:space="0" w:color="auto"/>
              <w:left w:val="nil"/>
              <w:bottom w:val="single" w:sz="8" w:space="0" w:color="auto"/>
              <w:right w:val="nil"/>
            </w:tcBorders>
            <w:shd w:val="clear" w:color="auto" w:fill="auto"/>
          </w:tcPr>
          <w:p w:rsidR="008C4899" w:rsidRPr="001173E2" w:rsidRDefault="008C4899" w:rsidP="00FF1BBA">
            <w:pPr>
              <w:ind w:left="-57" w:right="-57"/>
              <w:rPr>
                <w:rFonts w:ascii="Times New Roman" w:hAnsi="Times New Roman" w:cs="Times New Roman"/>
              </w:rPr>
            </w:pPr>
            <w:r w:rsidRPr="001173E2">
              <w:rPr>
                <w:rFonts w:ascii="Times New Roman" w:hAnsi="Times New Roman" w:cs="Times New Roman"/>
                <w:lang w:val="mn-MN"/>
              </w:rPr>
              <w:t>Г</w:t>
            </w:r>
            <w:proofErr w:type="spellStart"/>
            <w:r w:rsidRPr="001173E2">
              <w:rPr>
                <w:rFonts w:ascii="Times New Roman" w:hAnsi="Times New Roman" w:cs="Times New Roman"/>
              </w:rPr>
              <w:t>үйцэт</w:t>
            </w:r>
            <w:proofErr w:type="spellEnd"/>
          </w:p>
          <w:p w:rsidR="008C4899" w:rsidRPr="001173E2" w:rsidRDefault="008C4899" w:rsidP="00FF1BBA">
            <w:pPr>
              <w:ind w:left="-57" w:right="-57"/>
              <w:rPr>
                <w:rFonts w:ascii="Times New Roman" w:hAnsi="Times New Roman" w:cs="Times New Roman"/>
              </w:rPr>
            </w:pPr>
            <w:proofErr w:type="spellStart"/>
            <w:r w:rsidRPr="001173E2">
              <w:rPr>
                <w:rFonts w:ascii="Times New Roman" w:hAnsi="Times New Roman" w:cs="Times New Roman"/>
              </w:rPr>
              <w:t>гэл</w:t>
            </w:r>
            <w:proofErr w:type="spellEnd"/>
            <w:r w:rsidRPr="001173E2">
              <w:rPr>
                <w:rFonts w:ascii="Times New Roman" w:hAnsi="Times New Roman" w:cs="Times New Roman"/>
              </w:rPr>
              <w:t xml:space="preserve"> </w:t>
            </w:r>
            <w:proofErr w:type="spellStart"/>
            <w:proofErr w:type="gramStart"/>
            <w:r w:rsidRPr="001173E2">
              <w:rPr>
                <w:rFonts w:ascii="Times New Roman" w:hAnsi="Times New Roman" w:cs="Times New Roman"/>
              </w:rPr>
              <w:t>сая.төг</w:t>
            </w:r>
            <w:proofErr w:type="spellEnd"/>
            <w:proofErr w:type="gramEnd"/>
          </w:p>
        </w:tc>
        <w:tc>
          <w:tcPr>
            <w:tcW w:w="4536" w:type="dxa"/>
            <w:vMerge/>
            <w:vAlign w:val="center"/>
          </w:tcPr>
          <w:p w:rsidR="008C4899" w:rsidRPr="001173E2" w:rsidRDefault="008C4899" w:rsidP="00FF1BBA">
            <w:pPr>
              <w:ind w:left="-57" w:right="-57"/>
              <w:jc w:val="center"/>
              <w:rPr>
                <w:rFonts w:ascii="Times New Roman" w:hAnsi="Times New Roman" w:cs="Times New Roman"/>
                <w:lang w:val="mn-MN" w:bidi="mn-Mong-CN"/>
              </w:rPr>
            </w:pPr>
          </w:p>
        </w:tc>
      </w:tr>
      <w:tr w:rsidR="008C4899" w:rsidRPr="001173E2" w:rsidTr="00FF1BBA">
        <w:trPr>
          <w:trHeight w:val="283"/>
        </w:trPr>
        <w:tc>
          <w:tcPr>
            <w:tcW w:w="14601" w:type="dxa"/>
            <w:gridSpan w:val="13"/>
            <w:vAlign w:val="center"/>
          </w:tcPr>
          <w:p w:rsidR="008C4899" w:rsidRPr="001173E2" w:rsidRDefault="008C4899" w:rsidP="00FF1BBA">
            <w:pPr>
              <w:ind w:right="-57"/>
              <w:jc w:val="center"/>
              <w:rPr>
                <w:rFonts w:ascii="Times New Roman" w:hAnsi="Times New Roman" w:cs="Times New Roman"/>
                <w:b/>
                <w:bCs/>
                <w:lang w:val="mn-MN" w:bidi="mn-Mong-CN"/>
              </w:rPr>
            </w:pPr>
            <w:r w:rsidRPr="001173E2">
              <w:rPr>
                <w:rFonts w:ascii="Times New Roman" w:hAnsi="Times New Roman" w:cs="Times New Roman"/>
                <w:b/>
                <w:bCs/>
                <w:lang w:val="mn-MN" w:bidi="mn-Mong-CN"/>
              </w:rPr>
              <w:t>ГУРАВ. ЭДИЙН ЗАСГИЙН БОДЛОГО</w:t>
            </w:r>
          </w:p>
        </w:tc>
      </w:tr>
      <w:tr w:rsidR="008C4899" w:rsidRPr="001173E2" w:rsidTr="00FF1BBA">
        <w:trPr>
          <w:trHeight w:val="20"/>
        </w:trPr>
        <w:tc>
          <w:tcPr>
            <w:tcW w:w="14601" w:type="dxa"/>
            <w:gridSpan w:val="13"/>
            <w:vAlign w:val="center"/>
          </w:tcPr>
          <w:p w:rsidR="008C4899" w:rsidRPr="001173E2" w:rsidRDefault="008C4899" w:rsidP="007D7F69">
            <w:pPr>
              <w:ind w:left="-57" w:right="-57"/>
              <w:rPr>
                <w:rFonts w:ascii="Times New Roman" w:hAnsi="Times New Roman" w:cs="Times New Roman"/>
                <w:b/>
                <w:bCs/>
                <w:lang w:val="mn-MN" w:bidi="mn-Mong-CN"/>
              </w:rPr>
            </w:pPr>
            <w:r w:rsidRPr="001173E2">
              <w:rPr>
                <w:rFonts w:ascii="Times New Roman" w:hAnsi="Times New Roman" w:cs="Times New Roman"/>
                <w:b/>
                <w:bCs/>
                <w:lang w:val="mn-MN" w:bidi="mn-Mong-CN"/>
              </w:rPr>
              <w:t>3.1.Санхүү, эдийн засгийн хүндрэлийг богино хугацаанд даван туулж, эдийн засгийн тогтвортой, хүртээмжтэй өсөлтийг хангах бодлого хэрэгжүүлнэ</w:t>
            </w:r>
            <w:r w:rsidRPr="001173E2">
              <w:rPr>
                <w:rFonts w:ascii="Times New Roman" w:hAnsi="Times New Roman" w:cs="Times New Roman"/>
                <w:b/>
                <w:bCs/>
                <w:lang w:val="mn-MN" w:bidi="mn-Mong-CN"/>
              </w:rPr>
              <w:tab/>
            </w:r>
          </w:p>
        </w:tc>
      </w:tr>
      <w:tr w:rsidR="008C4899" w:rsidRPr="001173E2" w:rsidTr="00FF1BBA">
        <w:tc>
          <w:tcPr>
            <w:tcW w:w="567" w:type="dxa"/>
          </w:tcPr>
          <w:p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1</w:t>
            </w:r>
          </w:p>
        </w:tc>
        <w:tc>
          <w:tcPr>
            <w:tcW w:w="852" w:type="dxa"/>
            <w:tcBorders>
              <w:top w:val="single" w:sz="8" w:space="0" w:color="000000"/>
              <w:left w:val="single" w:sz="8" w:space="0" w:color="auto"/>
              <w:bottom w:val="single" w:sz="8" w:space="0" w:color="000000"/>
              <w:right w:val="nil"/>
            </w:tcBorders>
          </w:tcPr>
          <w:p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rPr>
              <w:t>3</w:t>
            </w:r>
            <w:r w:rsidRPr="001173E2">
              <w:rPr>
                <w:rFonts w:ascii="Times New Roman" w:hAnsi="Times New Roman" w:cs="Times New Roman"/>
                <w:lang w:val="mn-MN"/>
              </w:rPr>
              <w:t>.1.13</w:t>
            </w:r>
          </w:p>
        </w:tc>
        <w:tc>
          <w:tcPr>
            <w:tcW w:w="567" w:type="dxa"/>
            <w:tcBorders>
              <w:top w:val="single" w:sz="8" w:space="0" w:color="000000"/>
              <w:left w:val="single" w:sz="8" w:space="0" w:color="auto"/>
              <w:bottom w:val="single" w:sz="8" w:space="0" w:color="000000"/>
              <w:right w:val="nil"/>
            </w:tcBorders>
          </w:tcPr>
          <w:p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8</w:t>
            </w:r>
          </w:p>
        </w:tc>
        <w:tc>
          <w:tcPr>
            <w:tcW w:w="708" w:type="dxa"/>
            <w:gridSpan w:val="2"/>
            <w:tcBorders>
              <w:top w:val="single" w:sz="8" w:space="0" w:color="000000"/>
              <w:left w:val="single" w:sz="8" w:space="0" w:color="auto"/>
              <w:bottom w:val="single" w:sz="8" w:space="0" w:color="000000"/>
              <w:right w:val="nil"/>
            </w:tcBorders>
          </w:tcPr>
          <w:p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202</w:t>
            </w:r>
            <w:r w:rsidR="00E71E64" w:rsidRPr="001173E2">
              <w:rPr>
                <w:rFonts w:ascii="Times New Roman" w:hAnsi="Times New Roman" w:cs="Times New Roman"/>
                <w:lang w:val="mn-MN"/>
              </w:rPr>
              <w:t>1</w:t>
            </w:r>
          </w:p>
        </w:tc>
        <w:tc>
          <w:tcPr>
            <w:tcW w:w="851" w:type="dxa"/>
            <w:tcBorders>
              <w:top w:val="single" w:sz="8" w:space="0" w:color="000000"/>
              <w:left w:val="single" w:sz="8" w:space="0" w:color="auto"/>
              <w:bottom w:val="single" w:sz="8" w:space="0" w:color="000000"/>
              <w:right w:val="nil"/>
            </w:tcBorders>
          </w:tcPr>
          <w:p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СЗХ</w:t>
            </w:r>
          </w:p>
        </w:tc>
        <w:tc>
          <w:tcPr>
            <w:tcW w:w="850" w:type="dxa"/>
            <w:tcBorders>
              <w:top w:val="single" w:sz="8" w:space="0" w:color="000000"/>
              <w:left w:val="single" w:sz="8" w:space="0" w:color="auto"/>
              <w:bottom w:val="single" w:sz="8" w:space="0" w:color="000000"/>
              <w:right w:val="nil"/>
            </w:tcBorders>
          </w:tcPr>
          <w:p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Улсын төсөв</w:t>
            </w:r>
          </w:p>
        </w:tc>
        <w:tc>
          <w:tcPr>
            <w:tcW w:w="993" w:type="dxa"/>
            <w:tcBorders>
              <w:top w:val="single" w:sz="8" w:space="0" w:color="000000"/>
              <w:left w:val="single" w:sz="8" w:space="0" w:color="auto"/>
              <w:bottom w:val="single" w:sz="8" w:space="0" w:color="000000"/>
              <w:right w:val="single" w:sz="8" w:space="0" w:color="auto"/>
            </w:tcBorders>
          </w:tcPr>
          <w:p w:rsidR="008C4899" w:rsidRPr="001173E2" w:rsidRDefault="008C4899" w:rsidP="00FF1BBA">
            <w:pPr>
              <w:ind w:left="-57" w:right="-57"/>
              <w:jc w:val="both"/>
              <w:rPr>
                <w:rFonts w:ascii="Times New Roman" w:hAnsi="Times New Roman" w:cs="Times New Roman"/>
              </w:rPr>
            </w:pPr>
            <w:r w:rsidRPr="001173E2">
              <w:rPr>
                <w:rFonts w:ascii="Times New Roman" w:hAnsi="Times New Roman" w:cs="Times New Roman"/>
              </w:rPr>
              <w:t>30,800.0</w:t>
            </w:r>
          </w:p>
        </w:tc>
        <w:tc>
          <w:tcPr>
            <w:tcW w:w="1559" w:type="dxa"/>
            <w:tcBorders>
              <w:top w:val="single" w:sz="8" w:space="0" w:color="000000"/>
              <w:left w:val="single" w:sz="8" w:space="0" w:color="auto"/>
              <w:bottom w:val="single" w:sz="8" w:space="0" w:color="000000"/>
              <w:right w:val="single" w:sz="8" w:space="0" w:color="auto"/>
            </w:tcBorders>
          </w:tcPr>
          <w:p w:rsidR="008C4899" w:rsidRPr="001173E2" w:rsidRDefault="008C4899" w:rsidP="00FF1BBA">
            <w:pPr>
              <w:ind w:left="-57" w:right="-57"/>
              <w:jc w:val="center"/>
              <w:rPr>
                <w:rFonts w:ascii="Times New Roman" w:hAnsi="Times New Roman" w:cs="Times New Roman"/>
              </w:rPr>
            </w:pPr>
            <w:r w:rsidRPr="001173E2">
              <w:rPr>
                <w:rFonts w:ascii="Times New Roman" w:hAnsi="Times New Roman" w:cs="Times New Roman"/>
              </w:rPr>
              <w:t>-</w:t>
            </w:r>
          </w:p>
        </w:tc>
        <w:tc>
          <w:tcPr>
            <w:tcW w:w="1417" w:type="dxa"/>
          </w:tcPr>
          <w:p w:rsidR="008C4899" w:rsidRPr="001173E2" w:rsidRDefault="00E71E64" w:rsidP="00FF1BBA">
            <w:pPr>
              <w:ind w:left="-57" w:right="-57"/>
              <w:jc w:val="both"/>
              <w:rPr>
                <w:rFonts w:ascii="Times New Roman" w:hAnsi="Times New Roman" w:cs="Times New Roman"/>
                <w:bCs/>
              </w:rPr>
            </w:pPr>
            <w:proofErr w:type="spellStart"/>
            <w:r w:rsidRPr="001173E2">
              <w:rPr>
                <w:rFonts w:ascii="Times New Roman" w:hAnsi="Times New Roman" w:cs="Times New Roman"/>
              </w:rPr>
              <w:t>Монополь</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давамгай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байдалтай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аж</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ахуй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эрхлэгчийг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тодорхойлох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зах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зээлийн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судалгаа</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хийх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төвлөрлийг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сааруулах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арга</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хэмжээг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зохион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байгуулна</w:t>
            </w:r>
            <w:proofErr w:type="spellEnd"/>
          </w:p>
        </w:tc>
        <w:tc>
          <w:tcPr>
            <w:tcW w:w="851" w:type="dxa"/>
          </w:tcPr>
          <w:p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w:t>
            </w:r>
          </w:p>
        </w:tc>
        <w:tc>
          <w:tcPr>
            <w:tcW w:w="850"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4536" w:type="dxa"/>
          </w:tcPr>
          <w:p w:rsidR="00E71E64" w:rsidRPr="001173E2" w:rsidRDefault="00E71E64" w:rsidP="00E71E64">
            <w:pPr>
              <w:ind w:right="-57"/>
              <w:jc w:val="both"/>
              <w:rPr>
                <w:rFonts w:ascii="Times New Roman" w:hAnsi="Times New Roman" w:cs="Times New Roman"/>
                <w:b/>
                <w:lang w:val="mn-MN"/>
              </w:rPr>
            </w:pPr>
            <w:r w:rsidRPr="001173E2">
              <w:rPr>
                <w:rFonts w:ascii="Times New Roman" w:eastAsia="Times New Roman" w:hAnsi="Times New Roman" w:cs="Times New Roman"/>
                <w:b/>
                <w:bCs/>
                <w:lang w:val="mn-MN"/>
              </w:rPr>
              <w:t>1.</w:t>
            </w:r>
            <w:r w:rsidRPr="001173E2">
              <w:rPr>
                <w:rFonts w:ascii="Times New Roman" w:eastAsia="Times New Roman" w:hAnsi="Times New Roman" w:cs="Times New Roman"/>
                <w:lang w:val="mn-MN"/>
              </w:rPr>
              <w:t xml:space="preserve"> Улсын Их Хурлаас 2021 оны 1 дүгээр сарын 29-ний өдөр Банкны тухай хуульд нэмэлт, өөрчлөлт оруулах тухай хууль болон уг хуулийг дагаж мөрдөх журмын тухай хуулийг тус тус баталснаар банкны системд нөлөө бүхий банкууд компанийн хэлбэрийг өөрчлөн зохион байгуулж, нээлттэй хувьцаат компани  болох үүргийг хүлээсэн. Дээрх хуулийн хүрээнд банкны системд нөлөө бүхий банкууд компанийн хэлбэрийг өөрчлөн зохион байгуулж, нээлттэй хувьцаат компани болох ажиллагааг хэрэгжүүлэхтэй холбоотой зохицуулалтын орчныг боловсронгуй болгох зорилгоор </w:t>
            </w:r>
            <w:r w:rsidR="001173E2">
              <w:rPr>
                <w:rFonts w:ascii="Times New Roman" w:eastAsia="Times New Roman" w:hAnsi="Times New Roman" w:cs="Times New Roman"/>
                <w:lang w:val="mn-MN"/>
              </w:rPr>
              <w:t>Х</w:t>
            </w:r>
            <w:r w:rsidRPr="001173E2">
              <w:rPr>
                <w:rFonts w:ascii="Times New Roman" w:eastAsia="Times New Roman" w:hAnsi="Times New Roman" w:cs="Times New Roman"/>
                <w:lang w:val="mn-MN"/>
              </w:rPr>
              <w:t>орооноос Монголбанктай хамтран дараах нэр бүхий журмуудыг батлан мөрдүүлж, бодлого, зохицуулалтаар тухай бүр дэмжлэг үзүүлэн ажилласан. Үүнд:</w:t>
            </w:r>
          </w:p>
          <w:p w:rsidR="00E71E64" w:rsidRPr="001173E2" w:rsidRDefault="00E71E64" w:rsidP="00E71E64">
            <w:pPr>
              <w:pStyle w:val="ListParagraph"/>
              <w:ind w:left="246" w:right="-57" w:firstLine="474"/>
              <w:jc w:val="both"/>
              <w:rPr>
                <w:rFonts w:ascii="Times New Roman" w:eastAsia="Times New Roman" w:hAnsi="Times New Roman" w:cs="Times New Roman"/>
                <w:lang w:val="mn-MN"/>
              </w:rPr>
            </w:pPr>
            <w:r w:rsidRPr="001173E2">
              <w:rPr>
                <w:rFonts w:ascii="Times New Roman" w:eastAsia="Times New Roman" w:hAnsi="Times New Roman" w:cs="Times New Roman"/>
                <w:lang w:val="mn-MN"/>
              </w:rPr>
              <w:t xml:space="preserve">а. Монголголбанкны Ерөнхийлөгч, Санхүүгийн зохицуулах хорооны даргын </w:t>
            </w:r>
            <w:r w:rsidRPr="001173E2">
              <w:rPr>
                <w:rFonts w:ascii="Times New Roman" w:eastAsia="Times New Roman" w:hAnsi="Times New Roman" w:cs="Times New Roman"/>
                <w:lang w:val="mn-MN"/>
              </w:rPr>
              <w:lastRenderedPageBreak/>
              <w:t>2021 оны 3 дугаар сарын 26-ны өдрийн А-90/85 дугаар хамтарсан тушаалаар баталсан “Банкийг хувьцаат компани хэлбэртэйгээр өөрчлөн байгуулах, хувьцаа эзэмшигчдийн бүтэц, хувь нийлүүлсэн хөрөнгийн хэмжээг өөрчлөх төлөвлөгөөг боловсруулах, хэрэгжүүлэх, тайлагнах, хянах түр журам”;</w:t>
            </w:r>
          </w:p>
          <w:p w:rsidR="00E71E64" w:rsidRPr="001173E2" w:rsidRDefault="00E71E64" w:rsidP="00E71E64">
            <w:pPr>
              <w:pStyle w:val="ListParagraph"/>
              <w:ind w:left="246" w:right="-57" w:firstLine="474"/>
              <w:jc w:val="both"/>
              <w:rPr>
                <w:rFonts w:ascii="Times New Roman" w:eastAsia="Times New Roman" w:hAnsi="Times New Roman" w:cs="Times New Roman"/>
                <w:lang w:val="mn-MN"/>
              </w:rPr>
            </w:pPr>
            <w:r w:rsidRPr="001173E2">
              <w:rPr>
                <w:rFonts w:ascii="Times New Roman" w:eastAsia="Times New Roman" w:hAnsi="Times New Roman" w:cs="Times New Roman"/>
                <w:lang w:val="mn-MN"/>
              </w:rPr>
              <w:t>б. Монголголбанкны Ерөнхийлөгч, Санхүүгийн зохицуулах хорооны даргын 2021 оны 10 дугаар сарын 05-ны өдрийн А-262/262 дугаар хамтарсан тушаалаар баталсан “Хувьцаат компани хэлбэртэй банкны хувь нийлүүлсэн хөрөнгө, хувьцаа эзэмшигчдийн бүтцэд өөрчлөх оруулах зөвшөөрлийн журам”.</w:t>
            </w:r>
          </w:p>
          <w:p w:rsidR="00E71E64" w:rsidRPr="001173E2" w:rsidRDefault="00E71E64" w:rsidP="00E71E64">
            <w:pPr>
              <w:ind w:right="-57"/>
              <w:jc w:val="both"/>
              <w:rPr>
                <w:rFonts w:ascii="Times New Roman" w:eastAsia="Times New Roman" w:hAnsi="Times New Roman" w:cs="Times New Roman"/>
                <w:lang w:val="mn-MN"/>
              </w:rPr>
            </w:pPr>
            <w:r w:rsidRPr="001173E2">
              <w:rPr>
                <w:rFonts w:ascii="Times New Roman" w:eastAsia="Times New Roman" w:hAnsi="Times New Roman" w:cs="Times New Roman"/>
                <w:b/>
                <w:bCs/>
                <w:lang w:val="mn-MN"/>
              </w:rPr>
              <w:t>2.</w:t>
            </w:r>
            <w:r w:rsidRPr="001173E2">
              <w:rPr>
                <w:rFonts w:ascii="Times New Roman" w:eastAsia="Times New Roman" w:hAnsi="Times New Roman" w:cs="Times New Roman"/>
                <w:lang w:val="mn-MN"/>
              </w:rPr>
              <w:t xml:space="preserve"> Хорооны 2021 оны 225 дугаар тогтоолоор “Үнэт цаасны бүртгэлийн журам”-ыг өөрийн орны онцлог, зах зээлийн нөхцөл байдал, олон улсын жишигтэй нийцүүлэн шинэчлэн баталж, дотоодын аж ахуй нэгж нийтэд санал болгон анх удаа хувьцаа гаргах ажиллагааг хялбаршуулж, зардал, өртөг, цаг хугацааг хэмнэх давуу талыг үүсгэсэн. Ингэснээр системийн банкуудын хувьд банкны тухай хууль тогтоомжийн хэрэгжилтийг хангаж, IPO хийх ажиллагааг амжилттай хэрэгжүүлэх нөхцөл бүрдэж, банкны салбарын реформын хүрээнд системийн бус нэг банк /Богд банк/ олон нийтэд анх удаа хувьцаагаа санал болгон нээлттэй хувьцаат компани болсон.</w:t>
            </w:r>
          </w:p>
          <w:p w:rsidR="008C4899" w:rsidRPr="001173E2" w:rsidRDefault="00E71E64" w:rsidP="00E71E64">
            <w:pPr>
              <w:ind w:right="-57"/>
              <w:jc w:val="both"/>
              <w:rPr>
                <w:rFonts w:ascii="Times New Roman" w:eastAsia="Times New Roman" w:hAnsi="Times New Roman" w:cs="Times New Roman"/>
                <w:lang w:val="mn-MN"/>
              </w:rPr>
            </w:pPr>
            <w:r w:rsidRPr="001173E2">
              <w:rPr>
                <w:rFonts w:ascii="Times New Roman" w:eastAsia="Times New Roman" w:hAnsi="Times New Roman" w:cs="Times New Roman"/>
                <w:b/>
                <w:bCs/>
                <w:lang w:val="mn-MN"/>
              </w:rPr>
              <w:t>3.</w:t>
            </w:r>
            <w:r w:rsidRPr="001173E2">
              <w:rPr>
                <w:rFonts w:ascii="Times New Roman" w:eastAsia="Times New Roman" w:hAnsi="Times New Roman" w:cs="Times New Roman"/>
                <w:lang w:val="mn-MN"/>
              </w:rPr>
              <w:t xml:space="preserve"> Хорооны 2019 оны 441 дүгээр тогтоолоор ББСБ-уудын хувь нийлүүлсэн хөрөнгийн хэмжээг алслагдсан сум, аймгийн онцлогийг харгалзан үе шаттай нэмэгдүүлэх хуваарийг баталсан. Тухайлбал, Дархан-Уул, Орхон-Уул аймагт банк бус санхүүгийн зээлийн үйл </w:t>
            </w:r>
            <w:r w:rsidRPr="001173E2">
              <w:rPr>
                <w:rFonts w:ascii="Times New Roman" w:eastAsia="Times New Roman" w:hAnsi="Times New Roman" w:cs="Times New Roman"/>
                <w:lang w:val="mn-MN"/>
              </w:rPr>
              <w:lastRenderedPageBreak/>
              <w:t xml:space="preserve">ажиллагаа эрхлэх тохиолдолд хувь нийлүүлсэн хөрөнгийн хэмжээг 600 сая төгрөгөөр, бусад аймаг сумдад 200 сая төгрөгөөр тогтоосон. 2021 онд 534 ББСБ-аас Улаанбаатар хотод нийт ББСБ-уудын 84.5% буюу 451 ББСБ, салбаруудын 70.4% буюу 232 салбар байршиж байна. Харин хөдөө орон нутагт нийт ББСБ-ын 15.5% буюу 83 ББСБ, салбаруудын 29.6% буюу 98 салбар бүртгэлтэй үйл ажиллагаа эрхэлж байна. </w:t>
            </w:r>
          </w:p>
        </w:tc>
      </w:tr>
      <w:bookmarkEnd w:id="0"/>
      <w:tr w:rsidR="008C4899" w:rsidRPr="001173E2" w:rsidTr="00FF1BBA">
        <w:tc>
          <w:tcPr>
            <w:tcW w:w="14601" w:type="dxa"/>
            <w:gridSpan w:val="13"/>
          </w:tcPr>
          <w:p w:rsidR="008C4899" w:rsidRPr="001173E2" w:rsidRDefault="008C4899" w:rsidP="00FF1BBA">
            <w:pPr>
              <w:ind w:left="-57" w:right="-57"/>
              <w:jc w:val="both"/>
              <w:rPr>
                <w:rFonts w:ascii="Times New Roman" w:eastAsia="Times New Roman" w:hAnsi="Times New Roman" w:cs="Times New Roman"/>
                <w:b/>
                <w:bCs/>
                <w:lang w:val="mn-MN"/>
              </w:rPr>
            </w:pPr>
            <w:r w:rsidRPr="001173E2">
              <w:rPr>
                <w:rFonts w:ascii="Times New Roman" w:hAnsi="Times New Roman" w:cs="Times New Roman"/>
                <w:b/>
                <w:bCs/>
              </w:rPr>
              <w:lastRenderedPageBreak/>
              <w:t xml:space="preserve">3.3 </w:t>
            </w:r>
            <w:proofErr w:type="spellStart"/>
            <w:r w:rsidRPr="001173E2">
              <w:rPr>
                <w:rFonts w:ascii="Times New Roman" w:hAnsi="Times New Roman" w:cs="Times New Roman"/>
                <w:b/>
                <w:bCs/>
              </w:rPr>
              <w:t>Хөдөө</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аж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ахуйн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бүтээгдэхүүн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үйлдвэрлэл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борлуулалтын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сүлжээг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хөгжүүлж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гол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нэрийн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хүнсний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бүтээгдэхүүний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хэрэгцээг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дотоодоос</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бүрэн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хангаж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импортыг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орлох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болон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экспортын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баримжаатай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бүтээгдэхүүн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үйлдвэрлэлийг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дэмжинэ</w:t>
            </w:r>
            <w:proofErr w:type="spellEnd"/>
            <w:r w:rsidRPr="001173E2">
              <w:rPr>
                <w:rFonts w:ascii="Times New Roman" w:hAnsi="Times New Roman" w:cs="Times New Roman"/>
                <w:b/>
                <w:bCs/>
              </w:rPr>
              <w:t>.</w:t>
            </w:r>
          </w:p>
        </w:tc>
      </w:tr>
      <w:tr w:rsidR="008C4899" w:rsidRPr="001173E2" w:rsidTr="00FF1BBA">
        <w:tc>
          <w:tcPr>
            <w:tcW w:w="567" w:type="dxa"/>
          </w:tcPr>
          <w:p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2</w:t>
            </w:r>
          </w:p>
        </w:tc>
        <w:tc>
          <w:tcPr>
            <w:tcW w:w="852" w:type="dxa"/>
          </w:tcPr>
          <w:p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bCs/>
                <w:lang w:val="mn-MN"/>
              </w:rPr>
              <w:t>3.3.15</w:t>
            </w:r>
          </w:p>
        </w:tc>
        <w:tc>
          <w:tcPr>
            <w:tcW w:w="567"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1</w:t>
            </w:r>
          </w:p>
        </w:tc>
        <w:tc>
          <w:tcPr>
            <w:tcW w:w="708" w:type="dxa"/>
            <w:gridSpan w:val="2"/>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202</w:t>
            </w:r>
            <w:r w:rsidR="00E71E64" w:rsidRPr="001173E2">
              <w:rPr>
                <w:rFonts w:ascii="Times New Roman" w:hAnsi="Times New Roman" w:cs="Times New Roman"/>
                <w:bCs/>
                <w:lang w:val="mn-MN"/>
              </w:rPr>
              <w:t>1</w:t>
            </w:r>
          </w:p>
        </w:tc>
        <w:tc>
          <w:tcPr>
            <w:tcW w:w="851" w:type="dxa"/>
          </w:tcPr>
          <w:p w:rsidR="008C4899" w:rsidRPr="001173E2" w:rsidRDefault="008C4899" w:rsidP="00FF1BBA">
            <w:pPr>
              <w:ind w:left="-57" w:right="-57"/>
              <w:jc w:val="center"/>
              <w:rPr>
                <w:rFonts w:ascii="Times New Roman" w:hAnsi="Times New Roman" w:cs="Times New Roman"/>
                <w:bCs/>
              </w:rPr>
            </w:pPr>
            <w:r w:rsidRPr="001173E2">
              <w:rPr>
                <w:rFonts w:ascii="Times New Roman" w:hAnsi="Times New Roman" w:cs="Times New Roman"/>
                <w:bCs/>
              </w:rPr>
              <w:t>Б</w:t>
            </w:r>
            <w:r w:rsidRPr="001173E2">
              <w:rPr>
                <w:rFonts w:ascii="Times New Roman" w:hAnsi="Times New Roman" w:cs="Times New Roman"/>
                <w:bCs/>
                <w:lang w:val="mn-MN"/>
              </w:rPr>
              <w:t>ОАЖЯ</w:t>
            </w:r>
          </w:p>
        </w:tc>
        <w:tc>
          <w:tcPr>
            <w:tcW w:w="850"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Улсын төсөв</w:t>
            </w:r>
          </w:p>
        </w:tc>
        <w:tc>
          <w:tcPr>
            <w:tcW w:w="993" w:type="dxa"/>
          </w:tcPr>
          <w:p w:rsidR="008C4899" w:rsidRPr="001173E2" w:rsidRDefault="008C4899" w:rsidP="00FF1BBA">
            <w:pPr>
              <w:ind w:left="-57" w:right="-57"/>
              <w:jc w:val="center"/>
              <w:rPr>
                <w:rFonts w:ascii="Times New Roman" w:hAnsi="Times New Roman" w:cs="Times New Roman"/>
                <w:bCs/>
              </w:rPr>
            </w:pPr>
            <w:r w:rsidRPr="001173E2">
              <w:rPr>
                <w:rFonts w:ascii="Times New Roman" w:hAnsi="Times New Roman" w:cs="Times New Roman"/>
                <w:bCs/>
              </w:rPr>
              <w:t>-</w:t>
            </w:r>
          </w:p>
        </w:tc>
        <w:tc>
          <w:tcPr>
            <w:tcW w:w="1559" w:type="dxa"/>
          </w:tcPr>
          <w:p w:rsidR="008C4899" w:rsidRPr="001173E2" w:rsidRDefault="008C4899" w:rsidP="00FF1BBA">
            <w:pPr>
              <w:ind w:left="-57" w:right="-57"/>
              <w:jc w:val="center"/>
              <w:rPr>
                <w:rFonts w:ascii="Times New Roman" w:hAnsi="Times New Roman" w:cs="Times New Roman"/>
                <w:bCs/>
              </w:rPr>
            </w:pPr>
            <w:r w:rsidRPr="001173E2">
              <w:rPr>
                <w:rFonts w:ascii="Times New Roman" w:hAnsi="Times New Roman" w:cs="Times New Roman"/>
                <w:bCs/>
              </w:rPr>
              <w:t>-</w:t>
            </w:r>
          </w:p>
        </w:tc>
        <w:tc>
          <w:tcPr>
            <w:tcW w:w="1417" w:type="dxa"/>
          </w:tcPr>
          <w:p w:rsidR="008C4899" w:rsidRPr="001173E2" w:rsidRDefault="008C4899" w:rsidP="00FF1BBA">
            <w:pPr>
              <w:ind w:left="-57" w:right="-57"/>
              <w:jc w:val="both"/>
              <w:rPr>
                <w:rFonts w:ascii="Times New Roman" w:hAnsi="Times New Roman" w:cs="Times New Roman"/>
                <w:bCs/>
              </w:rPr>
            </w:pPr>
            <w:proofErr w:type="spellStart"/>
            <w:r w:rsidRPr="001173E2">
              <w:rPr>
                <w:rFonts w:ascii="Times New Roman" w:hAnsi="Times New Roman" w:cs="Times New Roman"/>
              </w:rPr>
              <w:t>Үйл</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ажиллагааны</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хэрэгжилтээр</w:t>
            </w:r>
            <w:proofErr w:type="spellEnd"/>
          </w:p>
        </w:tc>
        <w:tc>
          <w:tcPr>
            <w:tcW w:w="851"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850"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4536" w:type="dxa"/>
          </w:tcPr>
          <w:p w:rsidR="00E71E64" w:rsidRPr="001173E2" w:rsidRDefault="00E71E64" w:rsidP="00E71E64">
            <w:pPr>
              <w:shd w:val="clear" w:color="auto" w:fill="FFFFFF" w:themeFill="background1"/>
              <w:jc w:val="both"/>
              <w:rPr>
                <w:rFonts w:ascii="Times New Roman" w:hAnsi="Times New Roman" w:cs="Times New Roman"/>
                <w:lang w:val="mn-MN"/>
              </w:rPr>
            </w:pPr>
            <w:r w:rsidRPr="001173E2">
              <w:rPr>
                <w:rFonts w:ascii="Times New Roman" w:hAnsi="Times New Roman" w:cs="Times New Roman"/>
                <w:b/>
                <w:bCs/>
                <w:lang w:val="mn-MN"/>
              </w:rPr>
              <w:t>1.</w:t>
            </w:r>
            <w:r w:rsidRPr="001173E2">
              <w:rPr>
                <w:rFonts w:ascii="Times New Roman" w:hAnsi="Times New Roman" w:cs="Times New Roman"/>
                <w:lang w:val="mn-MN"/>
              </w:rPr>
              <w:t xml:space="preserve"> Хорооны 2021 оны 226 дугаар тогтоолоор баталсан “Компанийн өрийн хэрэгслийн бүртгэлийн журам”-аар дотоодын аж ахуйн нэгж хөрөнгийн зах зээлд олон улсын жишигт нийцсэн “Ногоон бонд”-ыг нийтэд санал болгон гаргахтай холбоотой харилцааг зохицуулсан. Ингэснээр Монгол Улсад анх удаа дотоодын аж ахуйн нэгжүүд ногоон бонд гаргах зохицуулалтын орчин бүрдсэн.</w:t>
            </w:r>
          </w:p>
          <w:p w:rsidR="00E71E64" w:rsidRPr="001173E2" w:rsidRDefault="00E71E64" w:rsidP="00E71E64">
            <w:pPr>
              <w:shd w:val="clear" w:color="auto" w:fill="FFFFFF" w:themeFill="background1"/>
              <w:jc w:val="both"/>
              <w:rPr>
                <w:rFonts w:ascii="Times New Roman" w:hAnsi="Times New Roman" w:cs="Times New Roman"/>
                <w:lang w:val="mn-MN"/>
              </w:rPr>
            </w:pPr>
            <w:r w:rsidRPr="001173E2">
              <w:rPr>
                <w:rFonts w:ascii="Times New Roman" w:hAnsi="Times New Roman" w:cs="Times New Roman"/>
                <w:b/>
                <w:bCs/>
                <w:lang w:val="mn-MN"/>
              </w:rPr>
              <w:t>2</w:t>
            </w:r>
            <w:r w:rsidRPr="001173E2">
              <w:rPr>
                <w:rFonts w:ascii="Times New Roman" w:hAnsi="Times New Roman" w:cs="Times New Roman"/>
                <w:lang w:val="mn-MN"/>
              </w:rPr>
              <w:t>. Байгаль орчинд ээлтэй ногоон даатгалын бүтээгдэхүүн, хөрөнгө оруулалтын талаар олон улсын судалгаа болон ББСБ-ын зээл олгох үйл ажиллагаанд байгаль орчин, нийгмийн эрсдэлийн удирдлагын тогтолцоог нэмэгдүүлэх суурь судалгааг тус тус хийж гүйцэтгэсэн.</w:t>
            </w:r>
          </w:p>
          <w:p w:rsidR="00E71E64" w:rsidRPr="001173E2" w:rsidRDefault="00E71E64" w:rsidP="00E71E64">
            <w:pPr>
              <w:shd w:val="clear" w:color="auto" w:fill="FFFFFF" w:themeFill="background1"/>
              <w:jc w:val="both"/>
              <w:rPr>
                <w:rFonts w:ascii="Times New Roman" w:hAnsi="Times New Roman" w:cs="Times New Roman"/>
                <w:lang w:val="mn-MN"/>
              </w:rPr>
            </w:pPr>
            <w:r w:rsidRPr="001173E2">
              <w:rPr>
                <w:rFonts w:ascii="Times New Roman" w:hAnsi="Times New Roman" w:cs="Times New Roman"/>
                <w:b/>
                <w:bCs/>
                <w:lang w:val="mn-MN"/>
              </w:rPr>
              <w:t>3.</w:t>
            </w:r>
            <w:r w:rsidRPr="001173E2">
              <w:rPr>
                <w:rFonts w:ascii="Times New Roman" w:hAnsi="Times New Roman" w:cs="Times New Roman"/>
                <w:lang w:val="mn-MN"/>
              </w:rPr>
              <w:t xml:space="preserve"> Хороо, Олон улсын санхүүгийн корпораци болон Тогтвортой санхүүжилтийн холбоотой хамтран ногоон бонд гаргах сонирхолтой дотоодын аж ахуйн нэгж болон бусад зах зээлд оролцогч санхүүгийн байгууллагуудад зориулсан “Ногоон бондын вебинар”-ыг 2021 оны 10 дугаар сарын 21-ний өдөр зохион байгуулсан.</w:t>
            </w:r>
          </w:p>
          <w:p w:rsidR="008C4899" w:rsidRPr="001173E2" w:rsidRDefault="00E71E64" w:rsidP="00FF1BBA">
            <w:pPr>
              <w:shd w:val="clear" w:color="auto" w:fill="FFFFFF" w:themeFill="background1"/>
              <w:jc w:val="both"/>
              <w:rPr>
                <w:rFonts w:ascii="Times New Roman" w:hAnsi="Times New Roman" w:cs="Times New Roman"/>
                <w:highlight w:val="yellow"/>
                <w:lang w:val="mn-MN"/>
              </w:rPr>
            </w:pPr>
            <w:r w:rsidRPr="001173E2">
              <w:rPr>
                <w:rFonts w:ascii="Times New Roman" w:hAnsi="Times New Roman" w:cs="Times New Roman"/>
                <w:b/>
                <w:bCs/>
                <w:lang w:val="mn-MN"/>
              </w:rPr>
              <w:lastRenderedPageBreak/>
              <w:t>4.</w:t>
            </w:r>
            <w:r w:rsidRPr="001173E2">
              <w:rPr>
                <w:rFonts w:ascii="Times New Roman" w:hAnsi="Times New Roman" w:cs="Times New Roman"/>
                <w:lang w:val="mn-MN"/>
              </w:rPr>
              <w:t xml:space="preserve"> Хороо, Азийн хөгжлийн банктай хамтран Жендэрийн мэдрэмж бүхий хүртээмжтэй ногоон санхүүгийн төслийг 2022-2024 онд хэрэгжүүлэхээр 2021 оны 11 дүгээр сарын 15-ны өдөр харилцан ойлголцлын санамж бичиг байгуулсан. </w:t>
            </w:r>
          </w:p>
        </w:tc>
      </w:tr>
      <w:tr w:rsidR="008C4899" w:rsidRPr="001173E2" w:rsidTr="00FF1BBA">
        <w:tc>
          <w:tcPr>
            <w:tcW w:w="14601" w:type="dxa"/>
            <w:gridSpan w:val="13"/>
          </w:tcPr>
          <w:p w:rsidR="008C4899" w:rsidRPr="001173E2" w:rsidRDefault="008C4899" w:rsidP="00FF1BBA">
            <w:pPr>
              <w:ind w:left="-57" w:right="-57"/>
              <w:jc w:val="both"/>
              <w:rPr>
                <w:rFonts w:ascii="Times New Roman" w:hAnsi="Times New Roman" w:cs="Times New Roman"/>
                <w:b/>
                <w:bCs/>
                <w:lang w:val="mn-MN"/>
              </w:rPr>
            </w:pPr>
            <w:r w:rsidRPr="001173E2">
              <w:rPr>
                <w:rFonts w:ascii="Times New Roman" w:hAnsi="Times New Roman" w:cs="Times New Roman"/>
                <w:b/>
                <w:bCs/>
              </w:rPr>
              <w:lastRenderedPageBreak/>
              <w:t>3.</w:t>
            </w:r>
            <w:proofErr w:type="gramStart"/>
            <w:r w:rsidRPr="001173E2">
              <w:rPr>
                <w:rFonts w:ascii="Times New Roman" w:hAnsi="Times New Roman" w:cs="Times New Roman"/>
                <w:b/>
                <w:bCs/>
              </w:rPr>
              <w:t>7.Газрын</w:t>
            </w:r>
            <w:proofErr w:type="gram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харилцаа</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барилга</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хот</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байгуулалтын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нэгдмэл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удирдлага</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менежментийн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тогтолцоог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бэхжүүлж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иргэдийн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орон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сууцны</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хангамжийг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нэмэгдүүлн</w:t>
            </w:r>
            <w:proofErr w:type="spellEnd"/>
            <w:r w:rsidRPr="001173E2">
              <w:rPr>
                <w:rFonts w:ascii="Times New Roman" w:hAnsi="Times New Roman" w:cs="Times New Roman"/>
                <w:b/>
                <w:bCs/>
                <w:lang w:val="mn-MN"/>
              </w:rPr>
              <w:t>э.</w:t>
            </w:r>
          </w:p>
        </w:tc>
      </w:tr>
      <w:tr w:rsidR="008C4899" w:rsidRPr="001173E2" w:rsidTr="00FF1BBA">
        <w:tc>
          <w:tcPr>
            <w:tcW w:w="567" w:type="dxa"/>
          </w:tcPr>
          <w:p w:rsidR="008C4899" w:rsidRPr="001173E2" w:rsidRDefault="008C4899" w:rsidP="00FF1BBA">
            <w:pPr>
              <w:ind w:left="-57" w:right="-57"/>
              <w:jc w:val="center"/>
              <w:rPr>
                <w:rFonts w:ascii="Times New Roman" w:hAnsi="Times New Roman" w:cs="Times New Roman"/>
                <w:lang w:bidi="mn-Mong-CN"/>
              </w:rPr>
            </w:pPr>
            <w:r w:rsidRPr="001173E2">
              <w:rPr>
                <w:rFonts w:ascii="Times New Roman" w:hAnsi="Times New Roman" w:cs="Times New Roman"/>
                <w:lang w:bidi="mn-Mong-CN"/>
              </w:rPr>
              <w:t>3</w:t>
            </w:r>
          </w:p>
        </w:tc>
        <w:tc>
          <w:tcPr>
            <w:tcW w:w="852"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rPr>
              <w:t>3</w:t>
            </w:r>
            <w:r w:rsidRPr="001173E2">
              <w:rPr>
                <w:rFonts w:ascii="Times New Roman" w:hAnsi="Times New Roman" w:cs="Times New Roman"/>
                <w:bCs/>
                <w:lang w:val="mn-MN"/>
              </w:rPr>
              <w:t>.7.10</w:t>
            </w:r>
          </w:p>
        </w:tc>
        <w:tc>
          <w:tcPr>
            <w:tcW w:w="567"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1</w:t>
            </w:r>
          </w:p>
        </w:tc>
        <w:tc>
          <w:tcPr>
            <w:tcW w:w="708" w:type="dxa"/>
            <w:gridSpan w:val="2"/>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202</w:t>
            </w:r>
            <w:r w:rsidR="00E71E64" w:rsidRPr="001173E2">
              <w:rPr>
                <w:rFonts w:ascii="Times New Roman" w:hAnsi="Times New Roman" w:cs="Times New Roman"/>
                <w:bCs/>
                <w:lang w:val="mn-MN"/>
              </w:rPr>
              <w:t>1</w:t>
            </w:r>
          </w:p>
        </w:tc>
        <w:tc>
          <w:tcPr>
            <w:tcW w:w="851" w:type="dxa"/>
          </w:tcPr>
          <w:p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rPr>
              <w:t>Б</w:t>
            </w:r>
            <w:r w:rsidRPr="001173E2">
              <w:rPr>
                <w:rFonts w:ascii="Times New Roman" w:hAnsi="Times New Roman" w:cs="Times New Roman"/>
                <w:lang w:val="mn-MN"/>
              </w:rPr>
              <w:t>ХБЯ</w:t>
            </w:r>
          </w:p>
          <w:p w:rsidR="008C4899" w:rsidRPr="001173E2" w:rsidRDefault="008C4899" w:rsidP="00FF1BBA">
            <w:pPr>
              <w:ind w:left="-57" w:right="-57"/>
              <w:jc w:val="center"/>
              <w:rPr>
                <w:rFonts w:ascii="Times New Roman" w:hAnsi="Times New Roman" w:cs="Times New Roman"/>
                <w:bCs/>
              </w:rPr>
            </w:pPr>
            <w:r w:rsidRPr="001173E2">
              <w:rPr>
                <w:rFonts w:ascii="Times New Roman" w:hAnsi="Times New Roman" w:cs="Times New Roman"/>
                <w:lang w:val="mn-MN"/>
              </w:rPr>
              <w:t>ХНХЯ</w:t>
            </w:r>
          </w:p>
        </w:tc>
        <w:tc>
          <w:tcPr>
            <w:tcW w:w="850"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Улсын төсөв</w:t>
            </w:r>
          </w:p>
        </w:tc>
        <w:tc>
          <w:tcPr>
            <w:tcW w:w="993" w:type="dxa"/>
          </w:tcPr>
          <w:p w:rsidR="008C4899" w:rsidRPr="001173E2" w:rsidRDefault="00EF1B0A" w:rsidP="00FF1BBA">
            <w:pPr>
              <w:ind w:left="-57" w:right="-57"/>
              <w:jc w:val="center"/>
              <w:rPr>
                <w:rFonts w:ascii="Times New Roman" w:hAnsi="Times New Roman" w:cs="Times New Roman"/>
                <w:bCs/>
                <w:lang w:val="mn-MN"/>
              </w:rPr>
            </w:pPr>
            <w:r>
              <w:rPr>
                <w:rFonts w:ascii="Times New Roman" w:hAnsi="Times New Roman" w:cs="Times New Roman"/>
                <w:bCs/>
                <w:lang w:val="mn-MN"/>
              </w:rPr>
              <w:t>-</w:t>
            </w:r>
          </w:p>
        </w:tc>
        <w:tc>
          <w:tcPr>
            <w:tcW w:w="1559" w:type="dxa"/>
          </w:tcPr>
          <w:p w:rsidR="008C4899" w:rsidRPr="001173E2" w:rsidRDefault="008C4899" w:rsidP="00FF1BBA">
            <w:pPr>
              <w:ind w:left="-57" w:right="-57"/>
              <w:jc w:val="both"/>
              <w:rPr>
                <w:rFonts w:ascii="Times New Roman" w:hAnsi="Times New Roman" w:cs="Times New Roman"/>
                <w:bCs/>
              </w:rPr>
            </w:pPr>
            <w:r w:rsidRPr="001173E2">
              <w:rPr>
                <w:rFonts w:ascii="Times New Roman" w:hAnsi="Times New Roman" w:cs="Times New Roman"/>
              </w:rPr>
              <w:t xml:space="preserve">2013 </w:t>
            </w:r>
            <w:proofErr w:type="spellStart"/>
            <w:r w:rsidRPr="001173E2">
              <w:rPr>
                <w:rFonts w:ascii="Times New Roman" w:hAnsi="Times New Roman" w:cs="Times New Roman"/>
              </w:rPr>
              <w:t>оноос</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хойш</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ипотекийн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зээлийг</w:t>
            </w:r>
            <w:proofErr w:type="spellEnd"/>
            <w:r w:rsidRPr="001173E2">
              <w:rPr>
                <w:rFonts w:ascii="Times New Roman" w:hAnsi="Times New Roman" w:cs="Times New Roman"/>
              </w:rPr>
              <w:t xml:space="preserve"> 8 </w:t>
            </w:r>
            <w:proofErr w:type="spellStart"/>
            <w:r w:rsidRPr="001173E2">
              <w:rPr>
                <w:rFonts w:ascii="Times New Roman" w:hAnsi="Times New Roman" w:cs="Times New Roman"/>
              </w:rPr>
              <w:t>хувиар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олгож</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байна</w:t>
            </w:r>
            <w:proofErr w:type="spellEnd"/>
            <w:r w:rsidRPr="001173E2">
              <w:rPr>
                <w:rFonts w:ascii="Times New Roman" w:hAnsi="Times New Roman" w:cs="Times New Roman"/>
              </w:rPr>
              <w:t>.</w:t>
            </w:r>
          </w:p>
        </w:tc>
        <w:tc>
          <w:tcPr>
            <w:tcW w:w="1417" w:type="dxa"/>
          </w:tcPr>
          <w:p w:rsidR="008C4899" w:rsidRPr="001173E2" w:rsidRDefault="00E71E64" w:rsidP="00FF1BBA">
            <w:pPr>
              <w:ind w:left="-57" w:right="-57"/>
              <w:jc w:val="both"/>
              <w:rPr>
                <w:rFonts w:ascii="Times New Roman" w:hAnsi="Times New Roman" w:cs="Times New Roman"/>
              </w:rPr>
            </w:pPr>
            <w:proofErr w:type="spellStart"/>
            <w:r w:rsidRPr="001173E2">
              <w:rPr>
                <w:rFonts w:ascii="Times New Roman" w:hAnsi="Times New Roman" w:cs="Times New Roman"/>
              </w:rPr>
              <w:t>Бага</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дунд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орлоготой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иргэдийг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жилийн</w:t>
            </w:r>
            <w:proofErr w:type="spellEnd"/>
            <w:r w:rsidRPr="001173E2">
              <w:rPr>
                <w:rFonts w:ascii="Times New Roman" w:hAnsi="Times New Roman" w:cs="Times New Roman"/>
              </w:rPr>
              <w:t xml:space="preserve"> 4-6 </w:t>
            </w:r>
            <w:proofErr w:type="spellStart"/>
            <w:r w:rsidRPr="001173E2">
              <w:rPr>
                <w:rFonts w:ascii="Times New Roman" w:hAnsi="Times New Roman" w:cs="Times New Roman"/>
              </w:rPr>
              <w:t>хувийн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хүүтэй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хөнгөлөлттэй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зээлд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хамруулах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дүрэм</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журам</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гэрээг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шинэчлэн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боловсруулж</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зээл</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олгох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ажлыг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эхлүүлнэ</w:t>
            </w:r>
            <w:proofErr w:type="spellEnd"/>
            <w:r w:rsidRPr="001173E2">
              <w:rPr>
                <w:rFonts w:ascii="Times New Roman" w:hAnsi="Times New Roman" w:cs="Times New Roman"/>
              </w:rPr>
              <w:t>.</w:t>
            </w:r>
          </w:p>
        </w:tc>
        <w:tc>
          <w:tcPr>
            <w:tcW w:w="851"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850"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4536" w:type="dxa"/>
          </w:tcPr>
          <w:p w:rsidR="00E71E64" w:rsidRPr="001173E2" w:rsidRDefault="00E71E64" w:rsidP="00E71E64">
            <w:pPr>
              <w:ind w:right="-57"/>
              <w:jc w:val="both"/>
              <w:rPr>
                <w:rFonts w:ascii="Times New Roman" w:hAnsi="Times New Roman" w:cs="Times New Roman"/>
                <w:color w:val="000000"/>
                <w:shd w:val="clear" w:color="auto" w:fill="FFFFFF"/>
                <w:lang w:val="mn-MN"/>
              </w:rPr>
            </w:pPr>
            <w:r w:rsidRPr="001173E2">
              <w:rPr>
                <w:rFonts w:ascii="Times New Roman" w:hAnsi="Times New Roman" w:cs="Times New Roman"/>
                <w:b/>
                <w:bCs/>
                <w:color w:val="000000"/>
                <w:shd w:val="clear" w:color="auto" w:fill="FFFFFF"/>
                <w:lang w:val="mn-MN"/>
              </w:rPr>
              <w:t>1.</w:t>
            </w:r>
            <w:r w:rsidRPr="001173E2">
              <w:rPr>
                <w:rFonts w:ascii="Times New Roman" w:hAnsi="Times New Roman" w:cs="Times New Roman"/>
                <w:color w:val="000000"/>
                <w:shd w:val="clear" w:color="auto" w:fill="FFFFFF"/>
                <w:lang w:val="mn-MN"/>
              </w:rPr>
              <w:t xml:space="preserve"> Засгийн газрын  2021 оны 42 дугаар тогтоолоор баталсан “Эрүүл мэндээ хамгаалж, эдийн засгаа сэргээх 10.0 (арван) их наядын цогц төлөвлөгөө”-ний хүрээнд бичил худалдаа, ажил үйлчилгээ эрхлэгч буюу хувиараа хөдөлмөр эрхлэгч иргэдэд ББСБ өөрийн эх үүсвэрээр 15.0 сая хүртэл төгрөгийн зээлийг 36 сарын хугацаатай, жилийн 6 хувийн хүүтэй олгох саналыг Сангийн сайдад 2021 оны 3 дугаар сарын 09-ний өдрийн №1/681 тоот албан бичгээр хүргүүлсэн. </w:t>
            </w:r>
          </w:p>
          <w:p w:rsidR="008C4899" w:rsidRPr="001173E2" w:rsidRDefault="00E71E64" w:rsidP="00E71E64">
            <w:pPr>
              <w:ind w:right="-57"/>
              <w:jc w:val="both"/>
              <w:rPr>
                <w:rFonts w:ascii="Times New Roman" w:hAnsi="Times New Roman" w:cs="Times New Roman"/>
                <w:color w:val="000000"/>
                <w:shd w:val="clear" w:color="auto" w:fill="FFFFFF"/>
                <w:lang w:val="mn-MN"/>
              </w:rPr>
            </w:pPr>
            <w:r w:rsidRPr="001173E2">
              <w:rPr>
                <w:rFonts w:ascii="Times New Roman" w:hAnsi="Times New Roman" w:cs="Times New Roman"/>
                <w:b/>
                <w:bCs/>
                <w:color w:val="000000"/>
                <w:shd w:val="clear" w:color="auto" w:fill="FFFFFF"/>
                <w:lang w:val="mn-MN"/>
              </w:rPr>
              <w:t>2.</w:t>
            </w:r>
            <w:r w:rsidRPr="001173E2">
              <w:rPr>
                <w:rFonts w:ascii="Times New Roman" w:hAnsi="Times New Roman" w:cs="Times New Roman"/>
                <w:color w:val="000000"/>
                <w:shd w:val="clear" w:color="auto" w:fill="FFFFFF"/>
                <w:lang w:val="mn-MN"/>
              </w:rPr>
              <w:t xml:space="preserve"> “Инвескор ББСБ” ХХК нь Риотинто Монгол ХХК-тай хамтран жижиг дунд бизнес эрхлэгчдийг дэмжих хамтарсан хөтөлбөрийг хэрэгжүүлж 30 хүртэлх сая төгрөгийн зээлийг сарын 0.4 хувийн хүүтэй, 24 сарын хугацаатай олгож байна.</w:t>
            </w:r>
            <w:r w:rsidRPr="001173E2">
              <w:rPr>
                <w:rFonts w:ascii="Times New Roman" w:eastAsia="Times New Roman" w:hAnsi="Times New Roman" w:cs="Times New Roman"/>
                <w:b/>
                <w:bCs/>
                <w:color w:val="000000"/>
                <w:shd w:val="clear" w:color="auto" w:fill="FFFFFF"/>
                <w:lang w:val="mn-MN"/>
              </w:rPr>
              <w:t xml:space="preserve"> </w:t>
            </w:r>
          </w:p>
        </w:tc>
      </w:tr>
      <w:tr w:rsidR="008C4899" w:rsidRPr="001173E2" w:rsidTr="00FF1BBA">
        <w:tc>
          <w:tcPr>
            <w:tcW w:w="14601" w:type="dxa"/>
            <w:gridSpan w:val="13"/>
          </w:tcPr>
          <w:p w:rsidR="008C4899" w:rsidRPr="001173E2" w:rsidRDefault="008C4899" w:rsidP="00FF1BBA">
            <w:pPr>
              <w:jc w:val="center"/>
              <w:rPr>
                <w:rFonts w:ascii="Times New Roman" w:hAnsi="Times New Roman" w:cs="Times New Roman"/>
                <w:b/>
                <w:bCs/>
                <w:lang w:val="mn-MN" w:eastAsia="ja-JP"/>
              </w:rPr>
            </w:pPr>
            <w:r w:rsidRPr="001173E2">
              <w:rPr>
                <w:rFonts w:ascii="Times New Roman" w:hAnsi="Times New Roman" w:cs="Times New Roman"/>
                <w:b/>
                <w:bCs/>
                <w:lang w:val="mn-MN"/>
              </w:rPr>
              <w:t>ДӨРӨВ. ЗАСАГЛАЛЫН БОДЛОГО</w:t>
            </w:r>
          </w:p>
        </w:tc>
      </w:tr>
      <w:tr w:rsidR="008C4899" w:rsidRPr="001173E2" w:rsidTr="00FF1BBA">
        <w:tc>
          <w:tcPr>
            <w:tcW w:w="14601" w:type="dxa"/>
            <w:gridSpan w:val="13"/>
          </w:tcPr>
          <w:p w:rsidR="008C4899" w:rsidRPr="001173E2" w:rsidRDefault="008C4899" w:rsidP="00FF1BBA">
            <w:pPr>
              <w:jc w:val="both"/>
              <w:rPr>
                <w:rFonts w:ascii="Times New Roman" w:hAnsi="Times New Roman" w:cs="Times New Roman"/>
                <w:b/>
                <w:bCs/>
                <w:lang w:val="mn-MN" w:eastAsia="ja-JP"/>
              </w:rPr>
            </w:pPr>
            <w:r w:rsidRPr="001173E2">
              <w:rPr>
                <w:rFonts w:ascii="Times New Roman" w:hAnsi="Times New Roman" w:cs="Times New Roman"/>
                <w:b/>
                <w:bCs/>
              </w:rPr>
              <w:t xml:space="preserve">4.4. </w:t>
            </w:r>
            <w:proofErr w:type="spellStart"/>
            <w:r w:rsidRPr="001173E2">
              <w:rPr>
                <w:rFonts w:ascii="Times New Roman" w:hAnsi="Times New Roman" w:cs="Times New Roman"/>
                <w:b/>
                <w:bCs/>
              </w:rPr>
              <w:t>Хараат</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бус</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бие</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даасан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шүүх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хүний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эрхийг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дээдэлсэн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эрх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зүйн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шинэтгэл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Шүүгчийн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хараат</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бус</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шүүхийн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бие</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даасан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байдлыг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хангаж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хүний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эрх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эдийн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засаг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бизнесийн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орчныг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дэмжсэн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хууль</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тогтоомжийн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шинэчлэлийг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хийж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шударга</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ёс</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хуульт</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ёсыг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бэхжүүлн</w:t>
            </w:r>
            <w:proofErr w:type="spellEnd"/>
            <w:r w:rsidRPr="001173E2">
              <w:rPr>
                <w:rFonts w:ascii="Times New Roman" w:hAnsi="Times New Roman" w:cs="Times New Roman"/>
                <w:b/>
                <w:bCs/>
                <w:lang w:val="mn-MN"/>
              </w:rPr>
              <w:t>э</w:t>
            </w:r>
          </w:p>
        </w:tc>
      </w:tr>
      <w:tr w:rsidR="008C4899" w:rsidRPr="001173E2" w:rsidTr="007D5D6A">
        <w:tc>
          <w:tcPr>
            <w:tcW w:w="567" w:type="dxa"/>
          </w:tcPr>
          <w:p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4</w:t>
            </w:r>
          </w:p>
        </w:tc>
        <w:tc>
          <w:tcPr>
            <w:tcW w:w="852"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4.4.6</w:t>
            </w:r>
          </w:p>
        </w:tc>
        <w:tc>
          <w:tcPr>
            <w:tcW w:w="567"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1</w:t>
            </w:r>
          </w:p>
        </w:tc>
        <w:tc>
          <w:tcPr>
            <w:tcW w:w="708" w:type="dxa"/>
            <w:gridSpan w:val="2"/>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202</w:t>
            </w:r>
            <w:r w:rsidR="00E71E64" w:rsidRPr="001173E2">
              <w:rPr>
                <w:rFonts w:ascii="Times New Roman" w:hAnsi="Times New Roman" w:cs="Times New Roman"/>
                <w:bCs/>
                <w:lang w:val="mn-MN"/>
              </w:rPr>
              <w:t>1</w:t>
            </w:r>
          </w:p>
        </w:tc>
        <w:tc>
          <w:tcPr>
            <w:tcW w:w="851" w:type="dxa"/>
          </w:tcPr>
          <w:p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ХЗДХЯ</w:t>
            </w:r>
          </w:p>
        </w:tc>
        <w:tc>
          <w:tcPr>
            <w:tcW w:w="850"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Улсын төсөв</w:t>
            </w:r>
          </w:p>
        </w:tc>
        <w:tc>
          <w:tcPr>
            <w:tcW w:w="993" w:type="dxa"/>
          </w:tcPr>
          <w:p w:rsidR="008C4899" w:rsidRPr="001173E2" w:rsidRDefault="00E71E64" w:rsidP="00FF1BBA">
            <w:pPr>
              <w:ind w:left="-57" w:right="-57"/>
              <w:jc w:val="center"/>
              <w:rPr>
                <w:rFonts w:ascii="Times New Roman" w:hAnsi="Times New Roman" w:cs="Times New Roman"/>
                <w:bCs/>
                <w:lang w:val="mn-MN"/>
              </w:rPr>
            </w:pPr>
            <w:r w:rsidRPr="001173E2">
              <w:rPr>
                <w:rFonts w:ascii="Times New Roman" w:hAnsi="Times New Roman" w:cs="Times New Roman"/>
                <w:lang w:val="mn-MN"/>
              </w:rPr>
              <w:t>240.0</w:t>
            </w:r>
          </w:p>
        </w:tc>
        <w:tc>
          <w:tcPr>
            <w:tcW w:w="1559" w:type="dxa"/>
          </w:tcPr>
          <w:p w:rsidR="008C4899" w:rsidRPr="001173E2" w:rsidRDefault="008C4899" w:rsidP="00FF1BBA">
            <w:pPr>
              <w:ind w:left="-57" w:right="-57"/>
              <w:jc w:val="center"/>
              <w:rPr>
                <w:rFonts w:ascii="Times New Roman" w:hAnsi="Times New Roman" w:cs="Times New Roman"/>
                <w:lang w:val="mn-MN"/>
              </w:rPr>
            </w:pPr>
            <w:r w:rsidRPr="001173E2">
              <w:rPr>
                <w:rFonts w:ascii="Times New Roman" w:hAnsi="Times New Roman" w:cs="Times New Roman"/>
                <w:lang w:val="mn-MN"/>
              </w:rPr>
              <w:t>-</w:t>
            </w:r>
          </w:p>
        </w:tc>
        <w:tc>
          <w:tcPr>
            <w:tcW w:w="1417" w:type="dxa"/>
          </w:tcPr>
          <w:p w:rsidR="008C4899" w:rsidRPr="001173E2" w:rsidRDefault="00E71E64" w:rsidP="00FF1BBA">
            <w:pPr>
              <w:ind w:left="-57" w:right="-57"/>
              <w:jc w:val="both"/>
              <w:rPr>
                <w:rFonts w:ascii="Times New Roman" w:hAnsi="Times New Roman" w:cs="Times New Roman"/>
              </w:rPr>
            </w:pPr>
            <w:proofErr w:type="spellStart"/>
            <w:r w:rsidRPr="001173E2">
              <w:rPr>
                <w:rFonts w:ascii="Times New Roman" w:hAnsi="Times New Roman" w:cs="Times New Roman"/>
              </w:rPr>
              <w:t>Хуулийн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этгээдийн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төлбөрийн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чадваргүйдлийн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тухай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Мөнгөн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зээлийн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үйл</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ажиллагааг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lastRenderedPageBreak/>
              <w:t>зохицуулах</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тухай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хуулийн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төслийг</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боловсруулж</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Улсын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Хуралд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өргөн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мэдүүлсэн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байна</w:t>
            </w:r>
            <w:proofErr w:type="spellEnd"/>
          </w:p>
        </w:tc>
        <w:tc>
          <w:tcPr>
            <w:tcW w:w="851"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lastRenderedPageBreak/>
              <w:t>-</w:t>
            </w:r>
          </w:p>
        </w:tc>
        <w:tc>
          <w:tcPr>
            <w:tcW w:w="850"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4536" w:type="dxa"/>
            <w:shd w:val="clear" w:color="auto" w:fill="FFFFFF" w:themeFill="background1"/>
          </w:tcPr>
          <w:p w:rsidR="007D5D6A" w:rsidRPr="009725C3" w:rsidRDefault="009725C3" w:rsidP="009725C3">
            <w:pPr>
              <w:ind w:right="-57"/>
              <w:jc w:val="both"/>
              <w:rPr>
                <w:rFonts w:ascii="Times New Roman" w:hAnsi="Times New Roman" w:cs="Times New Roman"/>
                <w:color w:val="000000"/>
              </w:rPr>
            </w:pPr>
            <w:r w:rsidRPr="009725C3">
              <w:rPr>
                <w:rFonts w:ascii="Times New Roman" w:hAnsi="Times New Roman" w:cs="Times New Roman"/>
                <w:b/>
                <w:bCs/>
                <w:color w:val="000000"/>
                <w:lang w:val="mn-MN"/>
              </w:rPr>
              <w:t>1.</w:t>
            </w:r>
            <w:r>
              <w:rPr>
                <w:rFonts w:ascii="Times New Roman" w:hAnsi="Times New Roman" w:cs="Times New Roman"/>
                <w:color w:val="000000"/>
                <w:lang w:val="mn-MN"/>
              </w:rPr>
              <w:t xml:space="preserve"> </w:t>
            </w:r>
            <w:proofErr w:type="spellStart"/>
            <w:r w:rsidR="007D5D6A" w:rsidRPr="009725C3">
              <w:rPr>
                <w:rFonts w:ascii="Times New Roman" w:hAnsi="Times New Roman" w:cs="Times New Roman"/>
                <w:color w:val="000000"/>
              </w:rPr>
              <w:t>Мөнгөн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зээлийн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үйл</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ажиллагааг</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зохицуулах</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тухай</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хуулийн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төс</w:t>
            </w:r>
            <w:proofErr w:type="spellEnd"/>
            <w:r w:rsidR="007D5D6A" w:rsidRPr="009725C3">
              <w:rPr>
                <w:rFonts w:ascii="Times New Roman" w:hAnsi="Times New Roman" w:cs="Times New Roman"/>
                <w:color w:val="000000"/>
                <w:lang w:val="mn-MN"/>
              </w:rPr>
              <w:t>лийн ажлын хэсэгт ажиллаж, Улсын Их Хурлын 2021 оны 5 дугаар сарын 14-ний өдрийн хаврын ээлжит чуулганы хуралдаанаар хэлэлцэж анхны хэлэлцүүлэгт бэлтгүүлэхээр холбогдох Байнгын хороонд шилж</w:t>
            </w:r>
            <w:r>
              <w:rPr>
                <w:rFonts w:ascii="Times New Roman" w:hAnsi="Times New Roman" w:cs="Times New Roman"/>
                <w:color w:val="000000"/>
                <w:lang w:val="mn-MN"/>
              </w:rPr>
              <w:t>үүл</w:t>
            </w:r>
            <w:r w:rsidR="007D5D6A" w:rsidRPr="009725C3">
              <w:rPr>
                <w:rFonts w:ascii="Times New Roman" w:hAnsi="Times New Roman" w:cs="Times New Roman"/>
                <w:color w:val="000000"/>
                <w:lang w:val="mn-MN"/>
              </w:rPr>
              <w:t>сэн.</w:t>
            </w:r>
          </w:p>
          <w:p w:rsidR="009725C3" w:rsidRPr="009725C3" w:rsidRDefault="009725C3" w:rsidP="009725C3">
            <w:pPr>
              <w:ind w:right="-57"/>
              <w:jc w:val="both"/>
              <w:rPr>
                <w:rFonts w:ascii="Times New Roman" w:hAnsi="Times New Roman" w:cs="Times New Roman"/>
                <w:color w:val="000000"/>
                <w:lang w:val="mn-MN"/>
              </w:rPr>
            </w:pPr>
            <w:r w:rsidRPr="009725C3">
              <w:rPr>
                <w:rFonts w:ascii="Times New Roman" w:hAnsi="Times New Roman" w:cs="Times New Roman"/>
                <w:b/>
                <w:bCs/>
                <w:color w:val="000000"/>
                <w:lang w:val="mn-MN"/>
              </w:rPr>
              <w:lastRenderedPageBreak/>
              <w:t>2.</w:t>
            </w:r>
            <w:r>
              <w:rPr>
                <w:rFonts w:ascii="Times New Roman" w:hAnsi="Times New Roman" w:cs="Times New Roman"/>
                <w:color w:val="000000"/>
                <w:lang w:val="mn-MN"/>
              </w:rPr>
              <w:t xml:space="preserve"> </w:t>
            </w:r>
            <w:proofErr w:type="spellStart"/>
            <w:r w:rsidR="007D5D6A" w:rsidRPr="009725C3">
              <w:rPr>
                <w:rFonts w:ascii="Times New Roman" w:hAnsi="Times New Roman" w:cs="Times New Roman"/>
                <w:color w:val="000000"/>
              </w:rPr>
              <w:t>Төлбөрийн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чадваргүйдлийн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тухай</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хуулийн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шинэчилсэн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найруулгын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төсөл</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болон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хамт</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өргөн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мэдүүлсэн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хуулийн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төслүүдийн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ажлын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хэсэгт</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ажилласан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бөгөөд</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тус</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хуулиудын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төслийг</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Монгол</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Улсын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Засгийн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газраас</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Улсын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Их</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Хуралд</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өргөн</w:t>
            </w:r>
            <w:proofErr w:type="spellEnd"/>
            <w:r w:rsidR="007D5D6A" w:rsidRPr="009725C3">
              <w:rPr>
                <w:rFonts w:ascii="Times New Roman" w:hAnsi="Times New Roman" w:cs="Times New Roman"/>
                <w:color w:val="000000"/>
              </w:rPr>
              <w:t xml:space="preserve"> </w:t>
            </w:r>
            <w:proofErr w:type="spellStart"/>
            <w:r w:rsidR="007D5D6A" w:rsidRPr="009725C3">
              <w:rPr>
                <w:rFonts w:ascii="Times New Roman" w:hAnsi="Times New Roman" w:cs="Times New Roman"/>
                <w:color w:val="000000"/>
              </w:rPr>
              <w:t>мэдүүл</w:t>
            </w:r>
            <w:proofErr w:type="spellEnd"/>
            <w:r w:rsidR="007D5D6A" w:rsidRPr="009725C3">
              <w:rPr>
                <w:rFonts w:ascii="Times New Roman" w:hAnsi="Times New Roman" w:cs="Times New Roman"/>
                <w:color w:val="000000"/>
                <w:lang w:val="mn-MN"/>
              </w:rPr>
              <w:t>эхээр ажиллаж байна.</w:t>
            </w:r>
          </w:p>
          <w:p w:rsidR="008C4899" w:rsidRPr="007D5D6A" w:rsidRDefault="008C4899" w:rsidP="00E71E64">
            <w:pPr>
              <w:ind w:right="-57"/>
              <w:jc w:val="both"/>
              <w:rPr>
                <w:rFonts w:ascii="Times New Roman" w:hAnsi="Times New Roman" w:cs="Times New Roman"/>
                <w:color w:val="000000"/>
              </w:rPr>
            </w:pPr>
            <w:bookmarkStart w:id="1" w:name="_GoBack"/>
            <w:bookmarkEnd w:id="1"/>
          </w:p>
        </w:tc>
      </w:tr>
      <w:tr w:rsidR="008C4899" w:rsidRPr="001173E2" w:rsidTr="00FF1BBA">
        <w:tc>
          <w:tcPr>
            <w:tcW w:w="14601" w:type="dxa"/>
            <w:gridSpan w:val="13"/>
          </w:tcPr>
          <w:p w:rsidR="008C4899" w:rsidRPr="001173E2" w:rsidRDefault="008C4899" w:rsidP="00FF1BBA">
            <w:pPr>
              <w:jc w:val="center"/>
              <w:rPr>
                <w:rFonts w:ascii="Times New Roman" w:eastAsia="Times New Roman" w:hAnsi="Times New Roman" w:cs="Times New Roman"/>
                <w:b/>
                <w:bCs/>
                <w:color w:val="000000"/>
                <w:lang w:val="mn-MN"/>
              </w:rPr>
            </w:pPr>
            <w:r w:rsidRPr="001173E2">
              <w:rPr>
                <w:rFonts w:ascii="Times New Roman" w:hAnsi="Times New Roman" w:cs="Times New Roman"/>
                <w:b/>
                <w:bCs/>
              </w:rPr>
              <w:lastRenderedPageBreak/>
              <w:t>ТАВ. НОГООН ХӨГЖЛИЙН БОДЛОГО</w:t>
            </w:r>
          </w:p>
        </w:tc>
      </w:tr>
      <w:tr w:rsidR="008C4899" w:rsidRPr="001173E2" w:rsidTr="00FF1BBA">
        <w:tc>
          <w:tcPr>
            <w:tcW w:w="14601" w:type="dxa"/>
            <w:gridSpan w:val="13"/>
          </w:tcPr>
          <w:p w:rsidR="008C4899" w:rsidRPr="001173E2" w:rsidRDefault="008C4899" w:rsidP="00FF1BBA">
            <w:pPr>
              <w:ind w:left="-57" w:right="-57"/>
              <w:jc w:val="both"/>
              <w:rPr>
                <w:rFonts w:ascii="Times New Roman" w:eastAsia="Verdana" w:hAnsi="Times New Roman" w:cs="Times New Roman"/>
                <w:b/>
                <w:bCs/>
                <w:lang w:val="mn-MN"/>
              </w:rPr>
            </w:pPr>
            <w:r w:rsidRPr="001173E2">
              <w:rPr>
                <w:rFonts w:ascii="Times New Roman" w:hAnsi="Times New Roman" w:cs="Times New Roman"/>
                <w:b/>
                <w:bCs/>
              </w:rPr>
              <w:t>5.</w:t>
            </w:r>
            <w:proofErr w:type="gramStart"/>
            <w:r w:rsidRPr="001173E2">
              <w:rPr>
                <w:rFonts w:ascii="Times New Roman" w:hAnsi="Times New Roman" w:cs="Times New Roman"/>
                <w:b/>
                <w:bCs/>
              </w:rPr>
              <w:t>1.Ногоон</w:t>
            </w:r>
            <w:proofErr w:type="gramEnd"/>
            <w:r w:rsidRPr="001173E2">
              <w:rPr>
                <w:rFonts w:ascii="Times New Roman" w:hAnsi="Times New Roman" w:cs="Times New Roman"/>
                <w:b/>
                <w:bCs/>
              </w:rPr>
              <w:t xml:space="preserve"> </w:t>
            </w:r>
            <w:proofErr w:type="spellStart"/>
            <w:r w:rsidRPr="001173E2">
              <w:rPr>
                <w:rFonts w:ascii="Times New Roman" w:hAnsi="Times New Roman" w:cs="Times New Roman"/>
                <w:b/>
                <w:bCs/>
              </w:rPr>
              <w:t>хөгжил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Байгаль</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орчныг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хамгаалах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байгалийн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баялгийг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зүй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зохистой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ашиглаж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дэвшилтэт</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техник</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технологи</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нэвтрүүлж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хүрээлэн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буй</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орчны</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бохирдол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доройтлыг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бууруулж</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иргэдийн</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эрүүл</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орчинд</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амьдрах</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нөхцөлийг</w:t>
            </w:r>
            <w:proofErr w:type="spellEnd"/>
            <w:r w:rsidRPr="001173E2">
              <w:rPr>
                <w:rFonts w:ascii="Times New Roman" w:hAnsi="Times New Roman" w:cs="Times New Roman"/>
                <w:b/>
                <w:bCs/>
              </w:rPr>
              <w:t xml:space="preserve"> </w:t>
            </w:r>
            <w:proofErr w:type="spellStart"/>
            <w:r w:rsidRPr="001173E2">
              <w:rPr>
                <w:rFonts w:ascii="Times New Roman" w:hAnsi="Times New Roman" w:cs="Times New Roman"/>
                <w:b/>
                <w:bCs/>
              </w:rPr>
              <w:t>бүрдүүлнэ</w:t>
            </w:r>
            <w:proofErr w:type="spellEnd"/>
            <w:r w:rsidRPr="001173E2">
              <w:rPr>
                <w:rFonts w:ascii="Times New Roman" w:hAnsi="Times New Roman" w:cs="Times New Roman"/>
                <w:b/>
                <w:bCs/>
              </w:rPr>
              <w:t>.</w:t>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r w:rsidRPr="001173E2">
              <w:rPr>
                <w:rFonts w:ascii="Times New Roman" w:eastAsia="Verdana" w:hAnsi="Times New Roman" w:cs="Times New Roman"/>
                <w:b/>
                <w:bCs/>
                <w:lang w:val="mn-MN"/>
              </w:rPr>
              <w:tab/>
            </w:r>
          </w:p>
        </w:tc>
      </w:tr>
      <w:tr w:rsidR="008C4899" w:rsidRPr="001173E2" w:rsidTr="00FF1BBA">
        <w:tc>
          <w:tcPr>
            <w:tcW w:w="567" w:type="dxa"/>
          </w:tcPr>
          <w:p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5</w:t>
            </w:r>
          </w:p>
        </w:tc>
        <w:tc>
          <w:tcPr>
            <w:tcW w:w="852" w:type="dxa"/>
          </w:tcPr>
          <w:p w:rsidR="008C4899" w:rsidRPr="001173E2" w:rsidRDefault="008C4899" w:rsidP="00FF1BBA">
            <w:pPr>
              <w:ind w:left="-57" w:right="-57"/>
              <w:jc w:val="center"/>
              <w:rPr>
                <w:rFonts w:ascii="Times New Roman" w:hAnsi="Times New Roman" w:cs="Times New Roman"/>
                <w:lang w:val="mn-MN" w:bidi="mn-Mong-CN"/>
              </w:rPr>
            </w:pPr>
            <w:r w:rsidRPr="001173E2">
              <w:rPr>
                <w:rFonts w:ascii="Times New Roman" w:hAnsi="Times New Roman" w:cs="Times New Roman"/>
                <w:lang w:val="mn-MN" w:bidi="mn-Mong-CN"/>
              </w:rPr>
              <w:t>5.1.12</w:t>
            </w:r>
          </w:p>
        </w:tc>
        <w:tc>
          <w:tcPr>
            <w:tcW w:w="567"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3</w:t>
            </w:r>
          </w:p>
        </w:tc>
        <w:tc>
          <w:tcPr>
            <w:tcW w:w="708" w:type="dxa"/>
            <w:gridSpan w:val="2"/>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202</w:t>
            </w:r>
            <w:r w:rsidR="00E71E64" w:rsidRPr="001173E2">
              <w:rPr>
                <w:rFonts w:ascii="Times New Roman" w:hAnsi="Times New Roman" w:cs="Times New Roman"/>
                <w:bCs/>
                <w:lang w:val="mn-MN"/>
              </w:rPr>
              <w:t>1</w:t>
            </w:r>
          </w:p>
        </w:tc>
        <w:tc>
          <w:tcPr>
            <w:tcW w:w="851"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БОАЖЯ</w:t>
            </w:r>
          </w:p>
        </w:tc>
        <w:tc>
          <w:tcPr>
            <w:tcW w:w="850"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Улсын төсөв</w:t>
            </w:r>
          </w:p>
        </w:tc>
        <w:tc>
          <w:tcPr>
            <w:tcW w:w="993" w:type="dxa"/>
          </w:tcPr>
          <w:p w:rsidR="008C4899" w:rsidRPr="001173E2" w:rsidRDefault="00E71E64" w:rsidP="00FF1BBA">
            <w:pPr>
              <w:ind w:left="-57" w:right="-57"/>
              <w:jc w:val="both"/>
              <w:rPr>
                <w:rFonts w:ascii="Times New Roman" w:hAnsi="Times New Roman" w:cs="Times New Roman"/>
                <w:bCs/>
              </w:rPr>
            </w:pPr>
            <w:r w:rsidRPr="001173E2">
              <w:rPr>
                <w:rFonts w:ascii="Times New Roman" w:hAnsi="Times New Roman" w:cs="Times New Roman"/>
                <w:lang w:val="mn-MN"/>
              </w:rPr>
              <w:t>51</w:t>
            </w:r>
            <w:r w:rsidR="008C4899" w:rsidRPr="001173E2">
              <w:rPr>
                <w:rFonts w:ascii="Times New Roman" w:hAnsi="Times New Roman" w:cs="Times New Roman"/>
              </w:rPr>
              <w:t>,200.0</w:t>
            </w:r>
          </w:p>
        </w:tc>
        <w:tc>
          <w:tcPr>
            <w:tcW w:w="1559" w:type="dxa"/>
          </w:tcPr>
          <w:p w:rsidR="008C4899" w:rsidRPr="001173E2" w:rsidRDefault="008C4899" w:rsidP="00FF1BBA">
            <w:pPr>
              <w:ind w:left="-57" w:right="-57"/>
              <w:jc w:val="both"/>
              <w:rPr>
                <w:rFonts w:ascii="Times New Roman" w:hAnsi="Times New Roman" w:cs="Times New Roman"/>
                <w:bCs/>
              </w:rPr>
            </w:pPr>
            <w:proofErr w:type="spellStart"/>
            <w:r w:rsidRPr="001173E2">
              <w:rPr>
                <w:rFonts w:ascii="Times New Roman" w:hAnsi="Times New Roman" w:cs="Times New Roman"/>
              </w:rPr>
              <w:t>Хөрөнгө</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оруулалтын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төслийн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саналыг</w:t>
            </w:r>
            <w:proofErr w:type="spellEnd"/>
            <w:r w:rsidRPr="001173E2">
              <w:rPr>
                <w:rFonts w:ascii="Times New Roman" w:hAnsi="Times New Roman" w:cs="Times New Roman"/>
              </w:rPr>
              <w:t xml:space="preserve"> НҮБ-</w:t>
            </w:r>
            <w:proofErr w:type="spellStart"/>
            <w:r w:rsidRPr="001173E2">
              <w:rPr>
                <w:rFonts w:ascii="Times New Roman" w:hAnsi="Times New Roman" w:cs="Times New Roman"/>
              </w:rPr>
              <w:t>ын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Уур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амьсгалын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ногоон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санд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хүргүүлсэн</w:t>
            </w:r>
            <w:proofErr w:type="spellEnd"/>
            <w:r w:rsidRPr="001173E2">
              <w:rPr>
                <w:rFonts w:ascii="Times New Roman" w:hAnsi="Times New Roman" w:cs="Times New Roman"/>
              </w:rPr>
              <w:t>.</w:t>
            </w:r>
          </w:p>
        </w:tc>
        <w:tc>
          <w:tcPr>
            <w:tcW w:w="1417" w:type="dxa"/>
          </w:tcPr>
          <w:p w:rsidR="008C4899" w:rsidRPr="001173E2" w:rsidRDefault="00E71E64" w:rsidP="00FF1BBA">
            <w:pPr>
              <w:ind w:left="-57" w:right="-57"/>
              <w:jc w:val="both"/>
              <w:rPr>
                <w:rFonts w:ascii="Times New Roman" w:hAnsi="Times New Roman" w:cs="Times New Roman"/>
                <w:bCs/>
              </w:rPr>
            </w:pPr>
            <w:proofErr w:type="spellStart"/>
            <w:r w:rsidRPr="001173E2">
              <w:rPr>
                <w:rFonts w:ascii="Times New Roman" w:hAnsi="Times New Roman" w:cs="Times New Roman"/>
              </w:rPr>
              <w:t>Төр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хувийн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хэвшлийн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түншлэлд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суурилсан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ногоон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санхүүжилтийн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бүтцэд</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Засгийн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газар</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хувь</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нийлүүлсэн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хөрөнгөтэй</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болсон</w:t>
            </w:r>
            <w:proofErr w:type="spellEnd"/>
            <w:r w:rsidRPr="001173E2">
              <w:rPr>
                <w:rFonts w:ascii="Times New Roman" w:hAnsi="Times New Roman" w:cs="Times New Roman"/>
              </w:rPr>
              <w:t xml:space="preserve"> </w:t>
            </w:r>
            <w:proofErr w:type="spellStart"/>
            <w:r w:rsidRPr="001173E2">
              <w:rPr>
                <w:rFonts w:ascii="Times New Roman" w:hAnsi="Times New Roman" w:cs="Times New Roman"/>
              </w:rPr>
              <w:t>байна</w:t>
            </w:r>
            <w:proofErr w:type="spellEnd"/>
            <w:r w:rsidRPr="001173E2">
              <w:rPr>
                <w:rFonts w:ascii="Times New Roman" w:hAnsi="Times New Roman" w:cs="Times New Roman"/>
              </w:rPr>
              <w:t>.</w:t>
            </w:r>
          </w:p>
        </w:tc>
        <w:tc>
          <w:tcPr>
            <w:tcW w:w="851"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lang w:val="mn-MN"/>
              </w:rPr>
              <w:t>-</w:t>
            </w:r>
          </w:p>
        </w:tc>
        <w:tc>
          <w:tcPr>
            <w:tcW w:w="850" w:type="dxa"/>
          </w:tcPr>
          <w:p w:rsidR="008C4899" w:rsidRPr="001173E2" w:rsidRDefault="008C4899" w:rsidP="00FF1BBA">
            <w:pPr>
              <w:ind w:left="-57" w:right="-57"/>
              <w:jc w:val="center"/>
              <w:rPr>
                <w:rFonts w:ascii="Times New Roman" w:hAnsi="Times New Roman" w:cs="Times New Roman"/>
                <w:bCs/>
                <w:lang w:val="mn-MN"/>
              </w:rPr>
            </w:pPr>
            <w:r w:rsidRPr="001173E2">
              <w:rPr>
                <w:rFonts w:ascii="Times New Roman" w:hAnsi="Times New Roman" w:cs="Times New Roman"/>
                <w:bCs/>
                <w:lang w:val="mn-MN"/>
              </w:rPr>
              <w:t>-</w:t>
            </w:r>
          </w:p>
        </w:tc>
        <w:tc>
          <w:tcPr>
            <w:tcW w:w="4536" w:type="dxa"/>
          </w:tcPr>
          <w:p w:rsidR="00E71E64" w:rsidRPr="001173E2" w:rsidRDefault="00AF239F" w:rsidP="00AF239F">
            <w:pPr>
              <w:ind w:right="-57"/>
              <w:jc w:val="both"/>
              <w:rPr>
                <w:rFonts w:ascii="Times New Roman" w:eastAsia="Times New Roman" w:hAnsi="Times New Roman" w:cs="Times New Roman"/>
                <w:color w:val="000000" w:themeColor="text1"/>
                <w:lang w:val="mn-MN"/>
              </w:rPr>
            </w:pPr>
            <w:r w:rsidRPr="001173E2">
              <w:rPr>
                <w:rFonts w:ascii="Times New Roman" w:eastAsia="Times New Roman" w:hAnsi="Times New Roman" w:cs="Times New Roman"/>
                <w:b/>
                <w:bCs/>
                <w:color w:val="000000" w:themeColor="text1"/>
                <w:lang w:val="mn-MN"/>
              </w:rPr>
              <w:t>1.</w:t>
            </w:r>
            <w:r w:rsidRPr="001173E2">
              <w:rPr>
                <w:rFonts w:ascii="Times New Roman" w:eastAsia="Times New Roman" w:hAnsi="Times New Roman" w:cs="Times New Roman"/>
                <w:color w:val="000000" w:themeColor="text1"/>
                <w:lang w:val="mn-MN"/>
              </w:rPr>
              <w:t xml:space="preserve"> </w:t>
            </w:r>
            <w:r w:rsidR="00E71E64" w:rsidRPr="001173E2">
              <w:rPr>
                <w:rFonts w:ascii="Times New Roman" w:eastAsia="Times New Roman" w:hAnsi="Times New Roman" w:cs="Times New Roman"/>
                <w:color w:val="000000" w:themeColor="text1"/>
                <w:lang w:val="mn-MN"/>
              </w:rPr>
              <w:t xml:space="preserve">ОУСК болон ТоС хөтөлбөртэй хамтран ББСБ-уудын үйл ажиллагаанд байгаль орчин, нийгэм, засаглалын шаардлагуудыг нэвтрүүлэхтэй холбоотой бодлого, журмуудыг судалж, журмын төслийг боловсруулсан. </w:t>
            </w:r>
          </w:p>
          <w:p w:rsidR="008C4899" w:rsidRPr="001173E2" w:rsidRDefault="00AF239F" w:rsidP="00AF239F">
            <w:pPr>
              <w:ind w:right="-57"/>
              <w:jc w:val="both"/>
              <w:rPr>
                <w:rFonts w:ascii="Times New Roman" w:hAnsi="Times New Roman" w:cs="Times New Roman"/>
                <w:b/>
                <w:bCs/>
                <w:cs/>
                <w:lang w:val="mn-MN"/>
              </w:rPr>
            </w:pPr>
            <w:r w:rsidRPr="001173E2">
              <w:rPr>
                <w:rFonts w:ascii="Times New Roman" w:eastAsia="Times New Roman" w:hAnsi="Times New Roman" w:cs="Times New Roman"/>
                <w:b/>
                <w:bCs/>
                <w:color w:val="000000" w:themeColor="text1"/>
                <w:lang w:val="mn-MN"/>
              </w:rPr>
              <w:t>2.</w:t>
            </w:r>
            <w:r w:rsidRPr="001173E2">
              <w:rPr>
                <w:rFonts w:ascii="Times New Roman" w:eastAsia="Times New Roman" w:hAnsi="Times New Roman" w:cs="Times New Roman"/>
                <w:color w:val="000000" w:themeColor="text1"/>
                <w:lang w:val="mn-MN"/>
              </w:rPr>
              <w:t xml:space="preserve"> </w:t>
            </w:r>
            <w:r w:rsidR="00E71E64" w:rsidRPr="001173E2">
              <w:rPr>
                <w:rFonts w:ascii="Times New Roman" w:eastAsia="Times New Roman" w:hAnsi="Times New Roman" w:cs="Times New Roman"/>
                <w:color w:val="000000" w:themeColor="text1"/>
                <w:lang w:val="mn-MN"/>
              </w:rPr>
              <w:t xml:space="preserve">ББСБ-уудаас ногоон зээлийн судалгааг авсан бөгөөд нийт 5 ББСБ 7 зээлдэгчид 338.5 сая төгрөгийн ногоон зээл олгосон. </w:t>
            </w:r>
          </w:p>
        </w:tc>
      </w:tr>
    </w:tbl>
    <w:p w:rsidR="008C4899" w:rsidRPr="001173E2" w:rsidRDefault="008C4899" w:rsidP="008C4899">
      <w:pPr>
        <w:rPr>
          <w:rFonts w:ascii="Times New Roman" w:hAnsi="Times New Roman" w:cs="Times New Roman"/>
        </w:rPr>
      </w:pPr>
    </w:p>
    <w:p w:rsidR="00514246" w:rsidRPr="001173E2" w:rsidRDefault="00EF1B0A">
      <w:pPr>
        <w:rPr>
          <w:rFonts w:ascii="Times New Roman" w:hAnsi="Times New Roman" w:cs="Times New Roman"/>
        </w:rPr>
      </w:pPr>
    </w:p>
    <w:sectPr w:rsidR="00514246" w:rsidRPr="001173E2" w:rsidSect="002B3D1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F3661"/>
    <w:multiLevelType w:val="hybridMultilevel"/>
    <w:tmpl w:val="AB94D14A"/>
    <w:lvl w:ilvl="0" w:tplc="FFFFFFFF">
      <w:start w:val="1"/>
      <w:numFmt w:val="decimal"/>
      <w:lvlText w:val="%1."/>
      <w:lvlJc w:val="left"/>
      <w:pPr>
        <w:ind w:left="549" w:hanging="360"/>
      </w:pPr>
      <w:rPr>
        <w:rFonts w:hint="default"/>
        <w:b w:val="0"/>
        <w:bCs/>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 w15:restartNumberingAfterBreak="0">
    <w:nsid w:val="39AC2B55"/>
    <w:multiLevelType w:val="hybridMultilevel"/>
    <w:tmpl w:val="1ACA0D58"/>
    <w:lvl w:ilvl="0" w:tplc="F97002E8">
      <w:start w:val="1"/>
      <w:numFmt w:val="decimal"/>
      <w:lvlText w:val="%1."/>
      <w:lvlJc w:val="left"/>
      <w:pPr>
        <w:ind w:left="246" w:hanging="360"/>
      </w:pPr>
      <w:rPr>
        <w:rFonts w:hint="default"/>
      </w:rPr>
    </w:lvl>
    <w:lvl w:ilvl="1" w:tplc="08389360">
      <w:start w:val="1"/>
      <w:numFmt w:val="lowerLetter"/>
      <w:lvlText w:val="%2."/>
      <w:lvlJc w:val="left"/>
      <w:pPr>
        <w:ind w:left="966" w:hanging="360"/>
      </w:pPr>
      <w:rPr>
        <w:rFonts w:hint="default"/>
      </w:r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2" w15:restartNumberingAfterBreak="0">
    <w:nsid w:val="4E8F1656"/>
    <w:multiLevelType w:val="hybridMultilevel"/>
    <w:tmpl w:val="32AEA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15947"/>
    <w:multiLevelType w:val="hybridMultilevel"/>
    <w:tmpl w:val="71EE56D8"/>
    <w:lvl w:ilvl="0" w:tplc="FFFFFFFF">
      <w:start w:val="1"/>
      <w:numFmt w:val="decimal"/>
      <w:lvlText w:val="%1."/>
      <w:lvlJc w:val="left"/>
      <w:pPr>
        <w:ind w:left="246" w:hanging="360"/>
      </w:pPr>
      <w:rPr>
        <w:rFonts w:hint="default"/>
        <w:b w:val="0"/>
        <w:bCs/>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4" w15:restartNumberingAfterBreak="0">
    <w:nsid w:val="66B1602D"/>
    <w:multiLevelType w:val="multilevel"/>
    <w:tmpl w:val="EB56C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89D0F1A"/>
    <w:multiLevelType w:val="hybridMultilevel"/>
    <w:tmpl w:val="05BA0E2A"/>
    <w:lvl w:ilvl="0" w:tplc="FFFFFFFF">
      <w:start w:val="1"/>
      <w:numFmt w:val="decimal"/>
      <w:lvlText w:val="%1."/>
      <w:lvlJc w:val="left"/>
      <w:pPr>
        <w:ind w:left="246"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99"/>
    <w:rsid w:val="001173E2"/>
    <w:rsid w:val="001C6676"/>
    <w:rsid w:val="003D3B7A"/>
    <w:rsid w:val="007D5D6A"/>
    <w:rsid w:val="007D7F69"/>
    <w:rsid w:val="008C4899"/>
    <w:rsid w:val="009725C3"/>
    <w:rsid w:val="00AF239F"/>
    <w:rsid w:val="00C3764B"/>
    <w:rsid w:val="00DA2760"/>
    <w:rsid w:val="00E71E64"/>
    <w:rsid w:val="00EF1B0A"/>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C3C8"/>
  <w15:chartTrackingRefBased/>
  <w15:docId w15:val="{C59BCE1C-0481-4BB1-AF8A-F35BD8E2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AusAID List Paragraph,List Paragraph1,ADB paragraph numbering,Colorful List - Accent 11,列出段落3,列出段落1,Recommendation,List Paragraph11,Bulleted List Paragraph,IBL List Paragra,List Paragraph (numbered (a)),References"/>
    <w:basedOn w:val="Normal"/>
    <w:link w:val="ListParagraphChar"/>
    <w:uiPriority w:val="34"/>
    <w:qFormat/>
    <w:rsid w:val="00E71E64"/>
    <w:pPr>
      <w:ind w:left="720"/>
      <w:contextualSpacing/>
    </w:p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basedOn w:val="DefaultParagraphFont"/>
    <w:link w:val="ListParagraph"/>
    <w:uiPriority w:val="34"/>
    <w:qFormat/>
    <w:locked/>
    <w:rsid w:val="00E71E64"/>
  </w:style>
  <w:style w:type="paragraph" w:styleId="NormalWeb">
    <w:name w:val="Normal (Web)"/>
    <w:basedOn w:val="Normal"/>
    <w:uiPriority w:val="99"/>
    <w:unhideWhenUsed/>
    <w:rsid w:val="00E71E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13</cp:revision>
  <dcterms:created xsi:type="dcterms:W3CDTF">2024-01-18T12:08:00Z</dcterms:created>
  <dcterms:modified xsi:type="dcterms:W3CDTF">2024-01-19T01:55:00Z</dcterms:modified>
</cp:coreProperties>
</file>