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C67" w:rsidRDefault="00E42C67" w:rsidP="004F79AB">
      <w:pPr>
        <w:spacing w:after="0" w:line="240" w:lineRule="auto"/>
        <w:ind w:right="440"/>
        <w:rPr>
          <w:rFonts w:ascii="Times New Roman" w:hAnsi="Times New Roman" w:cs="Times New Roman"/>
          <w:shd w:val="clear" w:color="auto" w:fill="FFFFFF"/>
        </w:rPr>
      </w:pPr>
    </w:p>
    <w:p w:rsidR="00EF400F" w:rsidRPr="001A6D34" w:rsidRDefault="00EF400F" w:rsidP="00241A16">
      <w:pPr>
        <w:spacing w:after="0" w:line="240" w:lineRule="auto"/>
        <w:ind w:right="110"/>
        <w:jc w:val="right"/>
        <w:rPr>
          <w:rFonts w:ascii="Times New Roman" w:hAnsi="Times New Roman" w:cs="Times New Roman"/>
          <w:shd w:val="clear" w:color="auto" w:fill="FFFFFF"/>
          <w:lang w:val="mn-MN"/>
        </w:rPr>
      </w:pPr>
    </w:p>
    <w:p w:rsidR="00EF400F" w:rsidRPr="00A7281F" w:rsidRDefault="00A7281F" w:rsidP="00EF400F">
      <w:pPr>
        <w:spacing w:after="0" w:line="240" w:lineRule="auto"/>
        <w:jc w:val="right"/>
        <w:rPr>
          <w:rFonts w:ascii="Times New Roman" w:hAnsi="Times New Roman" w:cs="Times New Roman"/>
          <w:lang w:val="mn-MN"/>
        </w:rPr>
      </w:pPr>
      <w:r w:rsidRPr="00A7281F">
        <w:rPr>
          <w:rFonts w:ascii="Times New Roman" w:hAnsi="Times New Roman" w:cs="Times New Roman"/>
          <w:lang w:val="mn-MN"/>
        </w:rPr>
        <w:t xml:space="preserve"> Санхүүгийн зохицуулах хорооны 202</w:t>
      </w:r>
      <w:r w:rsidR="00263B4B">
        <w:rPr>
          <w:rFonts w:ascii="Times New Roman" w:hAnsi="Times New Roman" w:cs="Times New Roman"/>
        </w:rPr>
        <w:t>4</w:t>
      </w:r>
      <w:r w:rsidRPr="00A7281F">
        <w:rPr>
          <w:rFonts w:ascii="Times New Roman" w:hAnsi="Times New Roman" w:cs="Times New Roman"/>
          <w:lang w:val="mn-MN"/>
        </w:rPr>
        <w:t xml:space="preserve"> оны</w:t>
      </w:r>
    </w:p>
    <w:p w:rsidR="00A7281F" w:rsidRPr="00A7281F" w:rsidRDefault="005D59BF" w:rsidP="00EF400F">
      <w:pPr>
        <w:spacing w:after="0" w:line="240" w:lineRule="auto"/>
        <w:jc w:val="right"/>
        <w:rPr>
          <w:rFonts w:ascii="Times New Roman" w:hAnsi="Times New Roman" w:cs="Times New Roman"/>
          <w:lang w:val="mn-MN"/>
        </w:rPr>
      </w:pPr>
      <w:r>
        <w:rPr>
          <w:rFonts w:ascii="Times New Roman" w:hAnsi="Times New Roman" w:cs="Times New Roman"/>
          <w:lang w:val="mn-MN"/>
        </w:rPr>
        <w:t>12</w:t>
      </w:r>
      <w:r w:rsidR="00A7281F" w:rsidRPr="00A7281F">
        <w:rPr>
          <w:rFonts w:ascii="Times New Roman" w:hAnsi="Times New Roman" w:cs="Times New Roman"/>
          <w:lang w:val="mn-MN"/>
        </w:rPr>
        <w:t xml:space="preserve"> дугаар сарын</w:t>
      </w:r>
      <w:r>
        <w:rPr>
          <w:rFonts w:ascii="Times New Roman" w:hAnsi="Times New Roman" w:cs="Times New Roman"/>
          <w:lang w:val="mn-MN"/>
        </w:rPr>
        <w:t xml:space="preserve"> 31</w:t>
      </w:r>
      <w:r w:rsidR="00A7281F" w:rsidRPr="00A7281F">
        <w:rPr>
          <w:rFonts w:ascii="Times New Roman" w:hAnsi="Times New Roman" w:cs="Times New Roman"/>
          <w:lang w:val="mn-MN"/>
        </w:rPr>
        <w:t>-н</w:t>
      </w:r>
      <w:r w:rsidR="006B6B45">
        <w:rPr>
          <w:rFonts w:ascii="Times New Roman" w:hAnsi="Times New Roman" w:cs="Times New Roman"/>
          <w:lang w:val="mn-MN"/>
        </w:rPr>
        <w:t>ий</w:t>
      </w:r>
      <w:r w:rsidR="00A7281F" w:rsidRPr="00A7281F">
        <w:rPr>
          <w:rFonts w:ascii="Times New Roman" w:hAnsi="Times New Roman" w:cs="Times New Roman"/>
          <w:lang w:val="mn-MN"/>
        </w:rPr>
        <w:t xml:space="preserve"> өдрийн...........</w:t>
      </w:r>
    </w:p>
    <w:p w:rsidR="00485753" w:rsidRDefault="00A7281F" w:rsidP="00EF400F">
      <w:pPr>
        <w:spacing w:after="0" w:line="240" w:lineRule="auto"/>
        <w:jc w:val="right"/>
        <w:rPr>
          <w:rFonts w:ascii="Times New Roman" w:hAnsi="Times New Roman" w:cs="Times New Roman"/>
          <w:lang w:val="mn-MN"/>
        </w:rPr>
      </w:pPr>
      <w:r w:rsidRPr="00A7281F">
        <w:rPr>
          <w:rFonts w:ascii="Times New Roman" w:hAnsi="Times New Roman" w:cs="Times New Roman"/>
          <w:lang w:val="mn-MN"/>
        </w:rPr>
        <w:t>тоот албан бичгийн</w:t>
      </w:r>
      <w:bookmarkStart w:id="0" w:name="_GoBack"/>
      <w:bookmarkEnd w:id="0"/>
      <w:r w:rsidR="00E92993">
        <w:rPr>
          <w:rFonts w:ascii="Times New Roman" w:hAnsi="Times New Roman"/>
          <w:szCs w:val="28"/>
          <w:lang w:val="mn-MN" w:bidi="mn-Mong-CN"/>
        </w:rPr>
        <w:t xml:space="preserve"> </w:t>
      </w:r>
      <w:r w:rsidRPr="00A7281F">
        <w:rPr>
          <w:rFonts w:ascii="Times New Roman" w:hAnsi="Times New Roman" w:cs="Times New Roman"/>
          <w:lang w:val="mn-MN"/>
        </w:rPr>
        <w:t>хавсралт</w:t>
      </w:r>
    </w:p>
    <w:p w:rsidR="00485753" w:rsidRPr="00BB48EA" w:rsidRDefault="00485753" w:rsidP="00EF400F">
      <w:pPr>
        <w:spacing w:after="0" w:line="240" w:lineRule="auto"/>
        <w:jc w:val="right"/>
        <w:rPr>
          <w:rFonts w:ascii="Times New Roman" w:hAnsi="Times New Roman" w:cs="Times New Roman"/>
        </w:rPr>
      </w:pPr>
    </w:p>
    <w:p w:rsidR="00485753" w:rsidRDefault="00485753" w:rsidP="00EF400F">
      <w:pPr>
        <w:spacing w:after="0" w:line="240" w:lineRule="auto"/>
        <w:jc w:val="right"/>
        <w:rPr>
          <w:rFonts w:ascii="Times New Roman" w:hAnsi="Times New Roman" w:cs="Times New Roman"/>
          <w:lang w:val="mn-MN"/>
        </w:rPr>
      </w:pPr>
    </w:p>
    <w:p w:rsidR="00A7281F" w:rsidRPr="00A7281F" w:rsidRDefault="00A7281F" w:rsidP="00EF400F">
      <w:pPr>
        <w:spacing w:after="0" w:line="240" w:lineRule="auto"/>
        <w:jc w:val="right"/>
        <w:rPr>
          <w:rFonts w:ascii="Times New Roman" w:hAnsi="Times New Roman" w:cs="Times New Roman"/>
          <w:lang w:val="mn-MN"/>
        </w:rPr>
      </w:pPr>
      <w:r w:rsidRPr="00A7281F">
        <w:rPr>
          <w:rFonts w:ascii="Times New Roman" w:hAnsi="Times New Roman" w:cs="Times New Roman"/>
          <w:lang w:val="mn-MN"/>
        </w:rPr>
        <w:t xml:space="preserve"> </w:t>
      </w:r>
    </w:p>
    <w:p w:rsidR="00A7281F" w:rsidRDefault="00A7281F" w:rsidP="00EF400F">
      <w:pPr>
        <w:spacing w:after="0" w:line="240" w:lineRule="auto"/>
        <w:jc w:val="right"/>
        <w:rPr>
          <w:rFonts w:ascii="Times New Roman" w:hAnsi="Times New Roman" w:cs="Times New Roman"/>
          <w:lang w:val="mn-MN"/>
        </w:rPr>
      </w:pPr>
    </w:p>
    <w:p w:rsidR="00A7281F" w:rsidRDefault="00A7281F" w:rsidP="00EF400F">
      <w:pPr>
        <w:spacing w:after="0" w:line="240" w:lineRule="auto"/>
        <w:jc w:val="right"/>
        <w:rPr>
          <w:rFonts w:ascii="Times New Roman" w:hAnsi="Times New Roman" w:cs="Times New Roman"/>
          <w:lang w:val="mn-MN"/>
        </w:rPr>
      </w:pPr>
    </w:p>
    <w:p w:rsidR="00EF400F" w:rsidRPr="00A7281F" w:rsidRDefault="00EF400F" w:rsidP="008A06A0">
      <w:pPr>
        <w:spacing w:after="0" w:line="240" w:lineRule="auto"/>
        <w:jc w:val="center"/>
        <w:rPr>
          <w:rStyle w:val="Strong"/>
          <w:rFonts w:ascii="Times New Roman" w:hAnsi="Times New Roman" w:cs="Times New Roman"/>
          <w:shd w:val="clear" w:color="auto" w:fill="FFFFFF"/>
          <w:lang w:val="mn-MN"/>
        </w:rPr>
      </w:pPr>
      <w:r w:rsidRPr="00A7281F">
        <w:rPr>
          <w:rStyle w:val="Strong"/>
          <w:rFonts w:ascii="Times New Roman" w:hAnsi="Times New Roman" w:cs="Times New Roman"/>
          <w:shd w:val="clear" w:color="auto" w:fill="FFFFFF"/>
        </w:rPr>
        <w:t>МОНГОЛ УЛСЫН ХӨГЖЛИЙН 202</w:t>
      </w:r>
      <w:r w:rsidRPr="00A7281F">
        <w:rPr>
          <w:rStyle w:val="Strong"/>
          <w:rFonts w:ascii="Times New Roman" w:hAnsi="Times New Roman" w:cs="Times New Roman"/>
          <w:shd w:val="clear" w:color="auto" w:fill="FFFFFF"/>
          <w:lang w:val="mn-MN"/>
        </w:rPr>
        <w:t>4</w:t>
      </w:r>
      <w:r w:rsidRPr="00A7281F">
        <w:rPr>
          <w:rStyle w:val="Strong"/>
          <w:rFonts w:ascii="Times New Roman" w:hAnsi="Times New Roman" w:cs="Times New Roman"/>
          <w:shd w:val="clear" w:color="auto" w:fill="FFFFFF"/>
        </w:rPr>
        <w:t xml:space="preserve"> ОНЫ ТӨЛӨВЛӨГӨӨ</w:t>
      </w:r>
      <w:r w:rsidRPr="00A7281F">
        <w:rPr>
          <w:rStyle w:val="Strong"/>
          <w:rFonts w:ascii="Times New Roman" w:hAnsi="Times New Roman" w:cs="Times New Roman"/>
          <w:shd w:val="clear" w:color="auto" w:fill="FFFFFF"/>
          <w:lang w:val="mn-MN"/>
        </w:rPr>
        <w:t xml:space="preserve">НИЙ </w:t>
      </w:r>
      <w:r w:rsidR="005E45E2">
        <w:rPr>
          <w:rStyle w:val="Strong"/>
          <w:rFonts w:ascii="Times New Roman" w:hAnsi="Times New Roman" w:cs="Times New Roman"/>
          <w:shd w:val="clear" w:color="auto" w:fill="FFFFFF"/>
          <w:lang w:val="mn-MN"/>
        </w:rPr>
        <w:t>ЖИЛИЙН ЭЦСИЙН</w:t>
      </w:r>
      <w:r w:rsidRPr="00A7281F">
        <w:rPr>
          <w:rStyle w:val="Strong"/>
          <w:rFonts w:ascii="Times New Roman" w:hAnsi="Times New Roman" w:cs="Times New Roman"/>
          <w:shd w:val="clear" w:color="auto" w:fill="FFFFFF"/>
          <w:lang w:val="mn-MN"/>
        </w:rPr>
        <w:t xml:space="preserve"> ХЭРЭГЖИЛТ</w:t>
      </w:r>
    </w:p>
    <w:p w:rsidR="00B95FCC" w:rsidRDefault="00EF400F" w:rsidP="00B95FCC">
      <w:pPr>
        <w:spacing w:after="120" w:line="240" w:lineRule="auto"/>
        <w:jc w:val="center"/>
        <w:rPr>
          <w:rFonts w:ascii="Times New Roman" w:hAnsi="Times New Roman" w:cs="Times New Roman"/>
          <w:b/>
          <w:bCs/>
          <w:lang w:val="mn-MN"/>
        </w:rPr>
      </w:pPr>
      <w:r w:rsidRPr="00A7281F">
        <w:rPr>
          <w:rFonts w:ascii="Times New Roman" w:hAnsi="Times New Roman" w:cs="Times New Roman"/>
          <w:b/>
          <w:bCs/>
          <w:lang w:val="mn-MN"/>
        </w:rPr>
        <w:t>/Санхүүгийн зохицуулах хороо/</w:t>
      </w:r>
    </w:p>
    <w:p w:rsidR="00B95FCC" w:rsidRDefault="00B95FCC" w:rsidP="00B95FCC">
      <w:pPr>
        <w:spacing w:after="120" w:line="240" w:lineRule="auto"/>
        <w:rPr>
          <w:rFonts w:ascii="Times New Roman" w:hAnsi="Times New Roman" w:cs="Times New Roman"/>
          <w:b/>
          <w:bCs/>
          <w:lang w:val="mn-MN"/>
        </w:rPr>
      </w:pPr>
    </w:p>
    <w:tbl>
      <w:tblPr>
        <w:tblStyle w:val="TableGrid"/>
        <w:tblW w:w="14742" w:type="dxa"/>
        <w:tblInd w:w="-1139" w:type="dxa"/>
        <w:tblLayout w:type="fixed"/>
        <w:tblLook w:val="04A0" w:firstRow="1" w:lastRow="0" w:firstColumn="1" w:lastColumn="0" w:noHBand="0" w:noVBand="1"/>
      </w:tblPr>
      <w:tblGrid>
        <w:gridCol w:w="708"/>
        <w:gridCol w:w="2553"/>
        <w:gridCol w:w="1701"/>
        <w:gridCol w:w="1559"/>
        <w:gridCol w:w="7210"/>
        <w:gridCol w:w="1011"/>
      </w:tblGrid>
      <w:tr w:rsidR="00B95FCC" w:rsidTr="00485753">
        <w:tc>
          <w:tcPr>
            <w:tcW w:w="14742" w:type="dxa"/>
            <w:gridSpan w:val="6"/>
          </w:tcPr>
          <w:p w:rsidR="00B95FCC" w:rsidRPr="00B95FCC" w:rsidRDefault="00B95FCC" w:rsidP="00133DD5">
            <w:pPr>
              <w:spacing w:after="120"/>
              <w:jc w:val="center"/>
              <w:rPr>
                <w:rFonts w:ascii="Times New Roman" w:hAnsi="Times New Roman" w:cs="Times New Roman"/>
                <w:b/>
                <w:bCs/>
                <w:sz w:val="24"/>
                <w:szCs w:val="24"/>
                <w:lang w:val="mn-MN"/>
              </w:rPr>
            </w:pPr>
            <w:r w:rsidRPr="00B95FCC">
              <w:rPr>
                <w:rFonts w:ascii="Times New Roman" w:hAnsi="Times New Roman" w:cs="Times New Roman"/>
                <w:b/>
                <w:bCs/>
                <w:sz w:val="24"/>
                <w:szCs w:val="24"/>
                <w:lang w:val="mn-MN"/>
              </w:rPr>
              <w:t>Тэргүүлэх чиглэлийн хэрэгжилт</w:t>
            </w:r>
          </w:p>
        </w:tc>
      </w:tr>
      <w:tr w:rsidR="009D6B67" w:rsidTr="00485753">
        <w:tc>
          <w:tcPr>
            <w:tcW w:w="708" w:type="dxa"/>
          </w:tcPr>
          <w:p w:rsidR="00B95FCC" w:rsidRDefault="00B95FCC" w:rsidP="00133DD5">
            <w:pPr>
              <w:spacing w:after="120"/>
              <w:jc w:val="center"/>
              <w:rPr>
                <w:rFonts w:ascii="Times New Roman" w:hAnsi="Times New Roman" w:cs="Times New Roman"/>
                <w:b/>
                <w:bCs/>
                <w:lang w:val="mn-MN"/>
              </w:rPr>
            </w:pPr>
            <w:r>
              <w:rPr>
                <w:rFonts w:ascii="Times New Roman" w:hAnsi="Times New Roman" w:cs="Times New Roman"/>
                <w:b/>
                <w:bCs/>
                <w:lang w:val="mn-MN"/>
              </w:rPr>
              <w:t>№</w:t>
            </w:r>
          </w:p>
        </w:tc>
        <w:tc>
          <w:tcPr>
            <w:tcW w:w="2553" w:type="dxa"/>
            <w:vAlign w:val="center"/>
          </w:tcPr>
          <w:p w:rsidR="00B95FCC" w:rsidRDefault="00B95FCC" w:rsidP="00DD4885">
            <w:pPr>
              <w:spacing w:after="120"/>
              <w:jc w:val="center"/>
              <w:rPr>
                <w:rFonts w:ascii="Times New Roman" w:hAnsi="Times New Roman" w:cs="Times New Roman"/>
                <w:b/>
                <w:bCs/>
                <w:lang w:val="mn-MN"/>
              </w:rPr>
            </w:pPr>
            <w:r w:rsidRPr="00B95FCC">
              <w:rPr>
                <w:rFonts w:ascii="Times New Roman" w:hAnsi="Times New Roman" w:cs="Times New Roman"/>
                <w:b/>
                <w:bCs/>
                <w:lang w:val="mn-MN"/>
              </w:rPr>
              <w:t>Бодлогын тэргүүлэх чиглэл</w:t>
            </w:r>
          </w:p>
        </w:tc>
        <w:tc>
          <w:tcPr>
            <w:tcW w:w="1701" w:type="dxa"/>
            <w:vAlign w:val="center"/>
          </w:tcPr>
          <w:p w:rsidR="00B95FCC" w:rsidRDefault="00B95FCC" w:rsidP="00DD4885">
            <w:pPr>
              <w:spacing w:after="120"/>
              <w:jc w:val="center"/>
              <w:rPr>
                <w:rFonts w:ascii="Times New Roman" w:hAnsi="Times New Roman" w:cs="Times New Roman"/>
                <w:b/>
                <w:bCs/>
                <w:lang w:val="mn-MN"/>
              </w:rPr>
            </w:pPr>
            <w:r w:rsidRPr="00B95FCC">
              <w:rPr>
                <w:rFonts w:ascii="Times New Roman" w:hAnsi="Times New Roman" w:cs="Times New Roman"/>
                <w:b/>
                <w:bCs/>
                <w:lang w:val="mn-MN"/>
              </w:rPr>
              <w:t>Дэд зорилт</w:t>
            </w:r>
          </w:p>
        </w:tc>
        <w:tc>
          <w:tcPr>
            <w:tcW w:w="1559" w:type="dxa"/>
            <w:vAlign w:val="center"/>
          </w:tcPr>
          <w:p w:rsidR="00B95FCC" w:rsidRDefault="00B95FCC" w:rsidP="00DD4885">
            <w:pPr>
              <w:spacing w:after="120"/>
              <w:jc w:val="center"/>
              <w:rPr>
                <w:rFonts w:ascii="Times New Roman" w:hAnsi="Times New Roman" w:cs="Times New Roman"/>
                <w:b/>
                <w:bCs/>
                <w:lang w:val="mn-MN"/>
              </w:rPr>
            </w:pPr>
            <w:r w:rsidRPr="00B95FCC">
              <w:rPr>
                <w:rFonts w:ascii="Times New Roman" w:hAnsi="Times New Roman" w:cs="Times New Roman"/>
                <w:b/>
                <w:bCs/>
                <w:lang w:val="mn-MN"/>
              </w:rPr>
              <w:t>Хариуцагч байгууллага</w:t>
            </w:r>
          </w:p>
        </w:tc>
        <w:tc>
          <w:tcPr>
            <w:tcW w:w="7210" w:type="dxa"/>
            <w:vAlign w:val="center"/>
          </w:tcPr>
          <w:p w:rsidR="00B95FCC" w:rsidRDefault="00B95FCC" w:rsidP="00B95FCC">
            <w:pPr>
              <w:spacing w:after="120"/>
              <w:jc w:val="center"/>
              <w:rPr>
                <w:rFonts w:ascii="Times New Roman" w:hAnsi="Times New Roman" w:cs="Times New Roman"/>
                <w:b/>
                <w:bCs/>
                <w:lang w:val="mn-MN"/>
              </w:rPr>
            </w:pPr>
            <w:r>
              <w:rPr>
                <w:rFonts w:ascii="Times New Roman" w:hAnsi="Times New Roman" w:cs="Times New Roman"/>
                <w:b/>
                <w:bCs/>
                <w:lang w:val="mn-MN"/>
              </w:rPr>
              <w:t>Хэрэгжилт</w:t>
            </w:r>
          </w:p>
        </w:tc>
        <w:tc>
          <w:tcPr>
            <w:tcW w:w="1011" w:type="dxa"/>
            <w:vAlign w:val="center"/>
          </w:tcPr>
          <w:p w:rsidR="00B95FCC" w:rsidRDefault="00B95FCC" w:rsidP="00B95FCC">
            <w:pPr>
              <w:spacing w:after="120"/>
              <w:jc w:val="center"/>
              <w:rPr>
                <w:rFonts w:ascii="Times New Roman" w:hAnsi="Times New Roman" w:cs="Times New Roman"/>
                <w:b/>
                <w:bCs/>
                <w:lang w:val="mn-MN"/>
              </w:rPr>
            </w:pPr>
            <w:r>
              <w:rPr>
                <w:rFonts w:ascii="Times New Roman" w:hAnsi="Times New Roman" w:cs="Times New Roman"/>
                <w:b/>
                <w:bCs/>
                <w:lang w:val="mn-MN"/>
              </w:rPr>
              <w:t>Үнэлгээ</w:t>
            </w:r>
          </w:p>
        </w:tc>
      </w:tr>
      <w:tr w:rsidR="009D6B67" w:rsidTr="00485753">
        <w:tc>
          <w:tcPr>
            <w:tcW w:w="708" w:type="dxa"/>
          </w:tcPr>
          <w:p w:rsidR="00B95FCC" w:rsidRDefault="00B95FCC" w:rsidP="00133DD5">
            <w:pPr>
              <w:spacing w:after="120"/>
              <w:jc w:val="center"/>
              <w:rPr>
                <w:rFonts w:ascii="Times New Roman" w:hAnsi="Times New Roman" w:cs="Times New Roman"/>
                <w:b/>
                <w:bCs/>
                <w:lang w:val="mn-MN"/>
              </w:rPr>
            </w:pPr>
            <w:r>
              <w:rPr>
                <w:rFonts w:ascii="Times New Roman" w:hAnsi="Times New Roman" w:cs="Times New Roman"/>
                <w:b/>
                <w:bCs/>
                <w:lang w:val="mn-MN"/>
              </w:rPr>
              <w:t>1</w:t>
            </w:r>
          </w:p>
        </w:tc>
        <w:tc>
          <w:tcPr>
            <w:tcW w:w="2553" w:type="dxa"/>
          </w:tcPr>
          <w:p w:rsidR="00B95FCC" w:rsidRPr="00B95FCC" w:rsidRDefault="00B95FCC" w:rsidP="00DD4885">
            <w:pPr>
              <w:spacing w:after="120"/>
              <w:rPr>
                <w:rFonts w:ascii="Times New Roman" w:hAnsi="Times New Roman" w:cs="Times New Roman"/>
                <w:lang w:val="mn-MN"/>
              </w:rPr>
            </w:pPr>
            <w:r w:rsidRPr="00B95FCC">
              <w:rPr>
                <w:rFonts w:ascii="Times New Roman" w:hAnsi="Times New Roman" w:cs="Times New Roman"/>
                <w:lang w:val="mn-MN"/>
              </w:rPr>
              <w:t>Нэг.Экспортыг нэмэгдүүлнэ</w:t>
            </w:r>
          </w:p>
        </w:tc>
        <w:tc>
          <w:tcPr>
            <w:tcW w:w="1701" w:type="dxa"/>
          </w:tcPr>
          <w:p w:rsidR="00B95FCC" w:rsidRPr="00B95FCC" w:rsidRDefault="00B95FCC" w:rsidP="00B95FCC">
            <w:pPr>
              <w:spacing w:after="120"/>
              <w:jc w:val="both"/>
              <w:rPr>
                <w:rFonts w:ascii="Times New Roman" w:hAnsi="Times New Roman" w:cs="Times New Roman"/>
                <w:lang w:val="mn-MN"/>
              </w:rPr>
            </w:pPr>
            <w:r w:rsidRPr="00B95FCC">
              <w:rPr>
                <w:rFonts w:ascii="Times New Roman" w:hAnsi="Times New Roman" w:cs="Times New Roman"/>
                <w:lang w:val="mn-MN"/>
              </w:rPr>
              <w:t>1.2.1 Уул уурхайн бус бүтээгдэхүүнд зориулсан экспортын санхүүжилт, даатгал, төлбөрийн баталгаа, зээлийн батлан даалт зэргээр экспортыг дэмжих санхүүжилтийн тогтолцоог бий болгоно.</w:t>
            </w:r>
          </w:p>
        </w:tc>
        <w:tc>
          <w:tcPr>
            <w:tcW w:w="1559" w:type="dxa"/>
          </w:tcPr>
          <w:p w:rsidR="00B95FCC" w:rsidRPr="00B95FCC" w:rsidRDefault="00B95FCC" w:rsidP="00B95FCC">
            <w:pPr>
              <w:spacing w:after="120"/>
              <w:jc w:val="center"/>
              <w:rPr>
                <w:rFonts w:ascii="Times New Roman" w:hAnsi="Times New Roman" w:cs="Times New Roman"/>
                <w:lang w:val="mn-MN"/>
              </w:rPr>
            </w:pPr>
            <w:r w:rsidRPr="00B95FCC">
              <w:rPr>
                <w:rFonts w:ascii="Times New Roman" w:hAnsi="Times New Roman" w:cs="Times New Roman"/>
                <w:lang w:val="mn-MN"/>
              </w:rPr>
              <w:t>СЯ, ХХААХҮЯ, СЗХ</w:t>
            </w:r>
          </w:p>
        </w:tc>
        <w:tc>
          <w:tcPr>
            <w:tcW w:w="7210" w:type="dxa"/>
          </w:tcPr>
          <w:p w:rsidR="00B95FCC" w:rsidRPr="00B31EE1" w:rsidRDefault="00B31EE1" w:rsidP="00B95FCC">
            <w:pPr>
              <w:jc w:val="both"/>
              <w:rPr>
                <w:rFonts w:ascii="Times New Roman" w:hAnsi="Times New Roman" w:cs="Times New Roman"/>
                <w:color w:val="000000"/>
              </w:rPr>
            </w:pPr>
            <w:proofErr w:type="spellStart"/>
            <w:r w:rsidRPr="00B31EE1">
              <w:rPr>
                <w:rFonts w:ascii="Times New Roman" w:hAnsi="Times New Roman" w:cs="Times New Roman"/>
                <w:color w:val="000000"/>
              </w:rPr>
              <w:t>Төсвийн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ерөнхийлөн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захирагчийн</w:t>
            </w:r>
            <w:proofErr w:type="spellEnd"/>
            <w:r w:rsidR="002958E0">
              <w:rPr>
                <w:rFonts w:ascii="Times New Roman" w:hAnsi="Times New Roman" w:cs="Times New Roman"/>
                <w:color w:val="000000"/>
                <w:lang w:val="mn-MN"/>
              </w:rPr>
              <w:t xml:space="preserve"> үр дүн,</w:t>
            </w:r>
            <w:r w:rsidRPr="00B31EE1">
              <w:rPr>
                <w:rFonts w:ascii="Times New Roman" w:hAnsi="Times New Roman" w:cs="Times New Roman"/>
                <w:color w:val="000000"/>
              </w:rPr>
              <w:t xml:space="preserve"> </w:t>
            </w:r>
            <w:r w:rsidR="002958E0">
              <w:rPr>
                <w:rFonts w:ascii="Times New Roman" w:hAnsi="Times New Roman" w:cs="Times New Roman"/>
                <w:color w:val="000000"/>
                <w:lang w:val="mn-MN"/>
              </w:rPr>
              <w:t>Х</w:t>
            </w:r>
            <w:proofErr w:type="spellStart"/>
            <w:r w:rsidRPr="00B31EE1">
              <w:rPr>
                <w:rFonts w:ascii="Times New Roman" w:hAnsi="Times New Roman" w:cs="Times New Roman"/>
                <w:color w:val="000000"/>
              </w:rPr>
              <w:t>өтөлбөр</w:t>
            </w:r>
            <w:proofErr w:type="spellEnd"/>
            <w:r w:rsidR="002958E0">
              <w:rPr>
                <w:rFonts w:ascii="Times New Roman" w:hAnsi="Times New Roman" w:cs="Times New Roman"/>
                <w:color w:val="000000"/>
                <w:lang w:val="mn-MN"/>
              </w:rPr>
              <w:t>ийн үр дүн болон</w:t>
            </w:r>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төсөл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арга</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хэмжээний</w:t>
            </w:r>
            <w:proofErr w:type="spellEnd"/>
            <w:r w:rsidRPr="00B31EE1">
              <w:rPr>
                <w:rFonts w:ascii="Times New Roman" w:hAnsi="Times New Roman" w:cs="Times New Roman"/>
                <w:color w:val="000000"/>
              </w:rPr>
              <w:t xml:space="preserve">  1-д </w:t>
            </w:r>
            <w:r w:rsidR="002958E0">
              <w:rPr>
                <w:rFonts w:ascii="Times New Roman" w:hAnsi="Times New Roman" w:cs="Times New Roman"/>
                <w:color w:val="000000"/>
                <w:lang w:val="mn-MN"/>
              </w:rPr>
              <w:t xml:space="preserve"> </w:t>
            </w:r>
            <w:proofErr w:type="spellStart"/>
            <w:r w:rsidRPr="00B31EE1">
              <w:rPr>
                <w:rFonts w:ascii="Times New Roman" w:hAnsi="Times New Roman" w:cs="Times New Roman"/>
                <w:color w:val="000000"/>
              </w:rPr>
              <w:t>Зохицуулалтын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хүрээний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санхүүгийн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салбарын</w:t>
            </w:r>
            <w:proofErr w:type="spellEnd"/>
            <w:r w:rsidRPr="00B31EE1">
              <w:rPr>
                <w:rFonts w:ascii="Times New Roman" w:hAnsi="Times New Roman" w:cs="Times New Roman"/>
                <w:color w:val="000000"/>
              </w:rPr>
              <w:t xml:space="preserve"> хууль </w:t>
            </w:r>
            <w:proofErr w:type="spellStart"/>
            <w:r w:rsidRPr="00B31EE1">
              <w:rPr>
                <w:rFonts w:ascii="Times New Roman" w:hAnsi="Times New Roman" w:cs="Times New Roman"/>
                <w:color w:val="000000"/>
              </w:rPr>
              <w:t>тогтоомжийг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боловсронгуй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болгоно</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гэж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тусгагдсан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Улсын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Их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Хурлын</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08 </w:t>
            </w:r>
            <w:proofErr w:type="spellStart"/>
            <w:r w:rsidRPr="00B31EE1">
              <w:rPr>
                <w:rFonts w:ascii="Times New Roman" w:hAnsi="Times New Roman" w:cs="Times New Roman"/>
                <w:color w:val="000000"/>
              </w:rPr>
              <w:t>дугаар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сарын</w:t>
            </w:r>
            <w:proofErr w:type="spellEnd"/>
            <w:r w:rsidRPr="00B31EE1">
              <w:rPr>
                <w:rFonts w:ascii="Times New Roman" w:hAnsi="Times New Roman" w:cs="Times New Roman"/>
                <w:color w:val="000000"/>
              </w:rPr>
              <w:t xml:space="preserve"> 15-ны </w:t>
            </w:r>
            <w:proofErr w:type="spellStart"/>
            <w:r w:rsidRPr="00B31EE1">
              <w:rPr>
                <w:rFonts w:ascii="Times New Roman" w:hAnsi="Times New Roman" w:cs="Times New Roman"/>
                <w:color w:val="000000"/>
              </w:rPr>
              <w:t>өдрийн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ээлжит</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бус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чуулганаар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Улсын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Их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Хурлын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даргын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зүгээс</w:t>
            </w:r>
            <w:proofErr w:type="spellEnd"/>
            <w:r w:rsidRPr="00B31EE1">
              <w:rPr>
                <w:rFonts w:ascii="Times New Roman" w:hAnsi="Times New Roman" w:cs="Times New Roman"/>
                <w:color w:val="000000"/>
              </w:rPr>
              <w:t xml:space="preserve"> хууль, </w:t>
            </w:r>
            <w:proofErr w:type="spellStart"/>
            <w:r w:rsidRPr="00B31EE1">
              <w:rPr>
                <w:rFonts w:ascii="Times New Roman" w:hAnsi="Times New Roman" w:cs="Times New Roman"/>
                <w:color w:val="000000"/>
              </w:rPr>
              <w:t>эрх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зүйн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гурван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төгөлдөршил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бодлогын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хүрээнд</w:t>
            </w:r>
            <w:proofErr w:type="spellEnd"/>
            <w:r w:rsidRPr="00B31EE1">
              <w:rPr>
                <w:rFonts w:ascii="Times New Roman" w:hAnsi="Times New Roman" w:cs="Times New Roman"/>
                <w:color w:val="000000"/>
              </w:rPr>
              <w:t xml:space="preserve"> хууль </w:t>
            </w:r>
            <w:proofErr w:type="spellStart"/>
            <w:r w:rsidRPr="00B31EE1">
              <w:rPr>
                <w:rFonts w:ascii="Times New Roman" w:hAnsi="Times New Roman" w:cs="Times New Roman"/>
                <w:color w:val="000000"/>
              </w:rPr>
              <w:t>тогтоох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ажиллагаанд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эрхийг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дээдэлсэн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төвтэй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үзэл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баримтлал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бүхий</w:t>
            </w:r>
            <w:proofErr w:type="spellEnd"/>
            <w:r w:rsidRPr="00B31EE1">
              <w:rPr>
                <w:rFonts w:ascii="Times New Roman" w:hAnsi="Times New Roman" w:cs="Times New Roman"/>
                <w:color w:val="000000"/>
              </w:rPr>
              <w:t xml:space="preserve">”, “Хууль </w:t>
            </w:r>
            <w:proofErr w:type="spellStart"/>
            <w:r w:rsidRPr="00B31EE1">
              <w:rPr>
                <w:rFonts w:ascii="Times New Roman" w:hAnsi="Times New Roman" w:cs="Times New Roman"/>
                <w:color w:val="000000"/>
              </w:rPr>
              <w:t>тодорхой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ойлгомжтой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ижил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тэгш</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үйлчилдэг</w:t>
            </w:r>
            <w:proofErr w:type="spellEnd"/>
            <w:r w:rsidRPr="00B31EE1">
              <w:rPr>
                <w:rFonts w:ascii="Times New Roman" w:hAnsi="Times New Roman" w:cs="Times New Roman"/>
                <w:color w:val="000000"/>
              </w:rPr>
              <w:t>”, “</w:t>
            </w:r>
            <w:proofErr w:type="spellStart"/>
            <w:r w:rsidRPr="00B31EE1">
              <w:rPr>
                <w:rFonts w:ascii="Times New Roman" w:hAnsi="Times New Roman" w:cs="Times New Roman"/>
                <w:color w:val="000000"/>
              </w:rPr>
              <w:t>Нийгмийн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хурдацтай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хөгжлийн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шаардлагад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нийцэхүйц</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гэх</w:t>
            </w:r>
            <w:proofErr w:type="spellEnd"/>
            <w:r w:rsidRPr="00B31EE1">
              <w:rPr>
                <w:rFonts w:ascii="Times New Roman" w:hAnsi="Times New Roman" w:cs="Times New Roman"/>
                <w:color w:val="000000"/>
              </w:rPr>
              <w:t xml:space="preserve"> 3 </w:t>
            </w:r>
            <w:proofErr w:type="spellStart"/>
            <w:r w:rsidRPr="00B31EE1">
              <w:rPr>
                <w:rFonts w:ascii="Times New Roman" w:hAnsi="Times New Roman" w:cs="Times New Roman"/>
                <w:color w:val="000000"/>
              </w:rPr>
              <w:t>үндсэн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чиглэлийг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баримтлах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талаар</w:t>
            </w:r>
            <w:proofErr w:type="spellEnd"/>
            <w:r w:rsidR="006E3546">
              <w:rPr>
                <w:rFonts w:ascii="Times New Roman" w:hAnsi="Times New Roman" w:cs="Times New Roman"/>
                <w:color w:val="000000"/>
              </w:rPr>
              <w:t xml:space="preserve"> </w:t>
            </w:r>
            <w:proofErr w:type="spellStart"/>
            <w:r w:rsidRPr="00B31EE1">
              <w:rPr>
                <w:rFonts w:ascii="Times New Roman" w:hAnsi="Times New Roman" w:cs="Times New Roman"/>
                <w:color w:val="000000"/>
              </w:rPr>
              <w:t>мэдэгдсэн</w:t>
            </w:r>
            <w:proofErr w:type="spellEnd"/>
            <w:r w:rsidRPr="00B31EE1">
              <w:rPr>
                <w:rFonts w:ascii="Times New Roman" w:hAnsi="Times New Roman" w:cs="Times New Roman"/>
                <w:color w:val="000000"/>
              </w:rPr>
              <w:t xml:space="preserve">. </w:t>
            </w:r>
            <w:r w:rsidRPr="00B31EE1">
              <w:rPr>
                <w:rFonts w:ascii="Times New Roman" w:hAnsi="Times New Roman" w:cs="Times New Roman"/>
                <w:color w:val="000000"/>
              </w:rPr>
              <w:br/>
            </w:r>
            <w:proofErr w:type="spellStart"/>
            <w:r w:rsidRPr="00B31EE1">
              <w:rPr>
                <w:rFonts w:ascii="Times New Roman" w:hAnsi="Times New Roman" w:cs="Times New Roman"/>
                <w:color w:val="000000"/>
              </w:rPr>
              <w:t>Энэ</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хүрээнд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зүгээс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хөрөнгө</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оруулагч</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үйлчлүүлэгчийн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эрх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ашгийг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хамгаалах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чиг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үүргийн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дагуу</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Санхүүгийн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зохицуулах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даргын</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325 </w:t>
            </w:r>
            <w:proofErr w:type="spellStart"/>
            <w:r w:rsidRPr="00B31EE1">
              <w:rPr>
                <w:rFonts w:ascii="Times New Roman" w:hAnsi="Times New Roman" w:cs="Times New Roman"/>
                <w:color w:val="000000"/>
              </w:rPr>
              <w:t>дугаар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тушаалаар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холбогдох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дүрэм</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журам</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заавар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зэргийн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уялдааг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хангах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давхардал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хийдэл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зөрчлийг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арилгах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чиг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үүрэг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бүхий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ажлын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хэсгийг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байгуулсан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Ажлын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хэсэг</w:t>
            </w:r>
            <w:proofErr w:type="spellEnd"/>
            <w:r w:rsidRPr="00B31EE1">
              <w:rPr>
                <w:rFonts w:ascii="Times New Roman" w:hAnsi="Times New Roman" w:cs="Times New Roman"/>
                <w:color w:val="000000"/>
              </w:rPr>
              <w:t xml:space="preserve"> </w:t>
            </w:r>
            <w:proofErr w:type="spellStart"/>
            <w:proofErr w:type="gramStart"/>
            <w:r w:rsidRPr="00B31EE1">
              <w:rPr>
                <w:rFonts w:ascii="Times New Roman" w:hAnsi="Times New Roman" w:cs="Times New Roman"/>
                <w:color w:val="000000"/>
              </w:rPr>
              <w:t>нь</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Зөвшөөрлийн</w:t>
            </w:r>
            <w:proofErr w:type="spellEnd"/>
            <w:proofErr w:type="gramEnd"/>
            <w:r w:rsidRPr="00B31EE1">
              <w:rPr>
                <w:rFonts w:ascii="Times New Roman" w:hAnsi="Times New Roman" w:cs="Times New Roman"/>
                <w:color w:val="000000"/>
              </w:rPr>
              <w:t xml:space="preserve"> тухай хууль </w:t>
            </w:r>
            <w:proofErr w:type="spellStart"/>
            <w:r w:rsidRPr="00B31EE1">
              <w:rPr>
                <w:rFonts w:ascii="Times New Roman" w:hAnsi="Times New Roman" w:cs="Times New Roman"/>
                <w:color w:val="000000"/>
              </w:rPr>
              <w:t>болон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Захиргааны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ерөнхий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хуульд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нийцүүлэн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уурхайн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бүтээгдэхүүний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биржийн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ажиллагаатай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холбоотой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бүхий</w:t>
            </w:r>
            <w:proofErr w:type="spellEnd"/>
            <w:r w:rsidRPr="00B31EE1">
              <w:rPr>
                <w:rFonts w:ascii="Times New Roman" w:hAnsi="Times New Roman" w:cs="Times New Roman"/>
                <w:color w:val="000000"/>
              </w:rPr>
              <w:t xml:space="preserve"> 4 </w:t>
            </w:r>
            <w:proofErr w:type="spellStart"/>
            <w:r w:rsidRPr="00B31EE1">
              <w:rPr>
                <w:rFonts w:ascii="Times New Roman" w:hAnsi="Times New Roman" w:cs="Times New Roman"/>
                <w:color w:val="000000"/>
              </w:rPr>
              <w:t>журмыг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нэгтгэж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уурхайн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бүтээгдэхүүний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биржийн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ажиллагааны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lastRenderedPageBreak/>
              <w:t>багц</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журам</w:t>
            </w:r>
            <w:proofErr w:type="spellEnd"/>
            <w:r w:rsidRPr="00B31EE1">
              <w:rPr>
                <w:rFonts w:ascii="Times New Roman" w:hAnsi="Times New Roman" w:cs="Times New Roman"/>
                <w:color w:val="000000"/>
              </w:rPr>
              <w:t>”-</w:t>
            </w:r>
            <w:proofErr w:type="spellStart"/>
            <w:r w:rsidRPr="00B31EE1">
              <w:rPr>
                <w:rFonts w:ascii="Times New Roman" w:hAnsi="Times New Roman" w:cs="Times New Roman"/>
                <w:color w:val="000000"/>
              </w:rPr>
              <w:t>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төслийг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боловсруулж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хуралдаанаар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танилцуулж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батлуулсан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багц</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журмыг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Захиргааны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ерөнхий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хуульд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нийцүүлэн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захиргааны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хэм</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хэмжээний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актын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улсын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нэгдсэн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бүртгэлд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бүртгүүлэхээр</w:t>
            </w:r>
            <w:proofErr w:type="spellEnd"/>
            <w:r w:rsidRPr="00B31EE1">
              <w:rPr>
                <w:rFonts w:ascii="Times New Roman" w:hAnsi="Times New Roman" w:cs="Times New Roman"/>
                <w:color w:val="000000"/>
              </w:rPr>
              <w:t xml:space="preserve"> Хууль </w:t>
            </w:r>
            <w:proofErr w:type="spellStart"/>
            <w:r w:rsidRPr="00B31EE1">
              <w:rPr>
                <w:rFonts w:ascii="Times New Roman" w:hAnsi="Times New Roman" w:cs="Times New Roman"/>
                <w:color w:val="000000"/>
              </w:rPr>
              <w:t>зүйн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дотоод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хэргийн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яаманд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хүргүүлсэн</w:t>
            </w:r>
            <w:proofErr w:type="spellEnd"/>
            <w:r w:rsidRPr="00B31EE1">
              <w:rPr>
                <w:rFonts w:ascii="Times New Roman" w:hAnsi="Times New Roman" w:cs="Times New Roman"/>
                <w:color w:val="000000"/>
              </w:rPr>
              <w:t>.</w:t>
            </w:r>
            <w:r w:rsidRPr="00B31EE1">
              <w:rPr>
                <w:rFonts w:ascii="Times New Roman" w:hAnsi="Times New Roman" w:cs="Times New Roman"/>
                <w:color w:val="000000"/>
              </w:rPr>
              <w:br/>
              <w:t xml:space="preserve"> “</w:t>
            </w:r>
            <w:proofErr w:type="spellStart"/>
            <w:r w:rsidRPr="00B31EE1">
              <w:rPr>
                <w:rFonts w:ascii="Times New Roman" w:hAnsi="Times New Roman" w:cs="Times New Roman"/>
                <w:color w:val="000000"/>
              </w:rPr>
              <w:t>Монголын</w:t>
            </w:r>
            <w:proofErr w:type="spellEnd"/>
            <w:r w:rsidRPr="00B31EE1">
              <w:rPr>
                <w:rFonts w:ascii="Times New Roman" w:hAnsi="Times New Roman" w:cs="Times New Roman"/>
                <w:color w:val="000000"/>
              </w:rPr>
              <w:t xml:space="preserve"> хөрөнгийн </w:t>
            </w:r>
            <w:proofErr w:type="spellStart"/>
            <w:r w:rsidRPr="00B31EE1">
              <w:rPr>
                <w:rFonts w:ascii="Times New Roman" w:hAnsi="Times New Roman" w:cs="Times New Roman"/>
                <w:color w:val="000000"/>
              </w:rPr>
              <w:t>бирж</w:t>
            </w:r>
            <w:proofErr w:type="spellEnd"/>
            <w:r w:rsidRPr="00B31EE1">
              <w:rPr>
                <w:rFonts w:ascii="Times New Roman" w:hAnsi="Times New Roman" w:cs="Times New Roman"/>
                <w:color w:val="000000"/>
              </w:rPr>
              <w:t>” ХК-</w:t>
            </w:r>
            <w:proofErr w:type="spellStart"/>
            <w:r w:rsidRPr="00B31EE1">
              <w:rPr>
                <w:rFonts w:ascii="Times New Roman" w:hAnsi="Times New Roman" w:cs="Times New Roman"/>
                <w:color w:val="000000"/>
              </w:rPr>
              <w:t>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Төлөөлөн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удирдах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зөвлөлийн</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40 </w:t>
            </w:r>
            <w:proofErr w:type="spellStart"/>
            <w:r w:rsidRPr="00B31EE1">
              <w:rPr>
                <w:rFonts w:ascii="Times New Roman" w:hAnsi="Times New Roman" w:cs="Times New Roman"/>
                <w:color w:val="000000"/>
              </w:rPr>
              <w:t>дүгээр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тогтоолоор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баталсан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уурхайн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бүтээгдэхүүний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арилжаа</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төлбөр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тооцоог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гүйцэтгэхэд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баримтлах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журам</w:t>
            </w:r>
            <w:proofErr w:type="spellEnd"/>
            <w:r w:rsidRPr="00B31EE1">
              <w:rPr>
                <w:rFonts w:ascii="Times New Roman" w:hAnsi="Times New Roman" w:cs="Times New Roman"/>
                <w:color w:val="000000"/>
              </w:rPr>
              <w:t>”-</w:t>
            </w:r>
            <w:proofErr w:type="spellStart"/>
            <w:r w:rsidRPr="00B31EE1">
              <w:rPr>
                <w:rFonts w:ascii="Times New Roman" w:hAnsi="Times New Roman" w:cs="Times New Roman"/>
                <w:color w:val="000000"/>
              </w:rPr>
              <w:t>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өөрчлөлтийг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Хорооны</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09 </w:t>
            </w:r>
            <w:proofErr w:type="spellStart"/>
            <w:r w:rsidRPr="00B31EE1">
              <w:rPr>
                <w:rFonts w:ascii="Times New Roman" w:hAnsi="Times New Roman" w:cs="Times New Roman"/>
                <w:color w:val="000000"/>
              </w:rPr>
              <w:t>дүгээр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сарын</w:t>
            </w:r>
            <w:proofErr w:type="spellEnd"/>
            <w:r w:rsidRPr="00B31EE1">
              <w:rPr>
                <w:rFonts w:ascii="Times New Roman" w:hAnsi="Times New Roman" w:cs="Times New Roman"/>
                <w:color w:val="000000"/>
              </w:rPr>
              <w:t xml:space="preserve"> 30-ны </w:t>
            </w:r>
            <w:proofErr w:type="spellStart"/>
            <w:r w:rsidRPr="00B31EE1">
              <w:rPr>
                <w:rFonts w:ascii="Times New Roman" w:hAnsi="Times New Roman" w:cs="Times New Roman"/>
                <w:color w:val="000000"/>
              </w:rPr>
              <w:t>өдрийн</w:t>
            </w:r>
            <w:proofErr w:type="spellEnd"/>
            <w:r w:rsidRPr="00B31EE1">
              <w:rPr>
                <w:rFonts w:ascii="Times New Roman" w:hAnsi="Times New Roman" w:cs="Times New Roman"/>
                <w:color w:val="000000"/>
              </w:rPr>
              <w:t xml:space="preserve"> 448 </w:t>
            </w:r>
            <w:proofErr w:type="spellStart"/>
            <w:r w:rsidRPr="00B31EE1">
              <w:rPr>
                <w:rFonts w:ascii="Times New Roman" w:hAnsi="Times New Roman" w:cs="Times New Roman"/>
                <w:color w:val="000000"/>
              </w:rPr>
              <w:t>дугаар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тогтоолоор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мөрдүүлэхийг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зөвшөөрсөн</w:t>
            </w:r>
            <w:proofErr w:type="spellEnd"/>
            <w:r w:rsidRPr="00B31EE1">
              <w:rPr>
                <w:rFonts w:ascii="Times New Roman" w:hAnsi="Times New Roman" w:cs="Times New Roman"/>
                <w:color w:val="000000"/>
              </w:rPr>
              <w:t>.</w:t>
            </w:r>
            <w:r w:rsidRPr="00B31EE1">
              <w:rPr>
                <w:rFonts w:ascii="Times New Roman" w:hAnsi="Times New Roman" w:cs="Times New Roman"/>
                <w:color w:val="000000"/>
              </w:rPr>
              <w:br/>
            </w:r>
            <w:proofErr w:type="spellStart"/>
            <w:r w:rsidRPr="00B31EE1">
              <w:rPr>
                <w:rFonts w:ascii="Times New Roman" w:hAnsi="Times New Roman" w:cs="Times New Roman"/>
                <w:color w:val="000000"/>
              </w:rPr>
              <w:t>Тухайлбал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журмын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үйлчлэх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хугацааг</w:t>
            </w:r>
            <w:proofErr w:type="spellEnd"/>
            <w:r w:rsidRPr="00B31EE1">
              <w:rPr>
                <w:rFonts w:ascii="Times New Roman" w:hAnsi="Times New Roman" w:cs="Times New Roman"/>
                <w:color w:val="000000"/>
              </w:rPr>
              <w:t xml:space="preserve"> 2025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04 </w:t>
            </w:r>
            <w:proofErr w:type="spellStart"/>
            <w:r w:rsidRPr="00B31EE1">
              <w:rPr>
                <w:rFonts w:ascii="Times New Roman" w:hAnsi="Times New Roman" w:cs="Times New Roman"/>
                <w:color w:val="000000"/>
              </w:rPr>
              <w:t>дүгээр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сарын</w:t>
            </w:r>
            <w:proofErr w:type="spellEnd"/>
            <w:r w:rsidRPr="00B31EE1">
              <w:rPr>
                <w:rFonts w:ascii="Times New Roman" w:hAnsi="Times New Roman" w:cs="Times New Roman"/>
                <w:color w:val="000000"/>
              </w:rPr>
              <w:t xml:space="preserve"> 01-ний </w:t>
            </w:r>
            <w:proofErr w:type="spellStart"/>
            <w:r w:rsidRPr="00B31EE1">
              <w:rPr>
                <w:rFonts w:ascii="Times New Roman" w:hAnsi="Times New Roman" w:cs="Times New Roman"/>
                <w:color w:val="000000"/>
              </w:rPr>
              <w:t>өдрийг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хүртэл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сунгасан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бөгөөд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дагуу</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Хорооны</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09 </w:t>
            </w:r>
            <w:proofErr w:type="spellStart"/>
            <w:r w:rsidRPr="00B31EE1">
              <w:rPr>
                <w:rFonts w:ascii="Times New Roman" w:hAnsi="Times New Roman" w:cs="Times New Roman"/>
                <w:color w:val="000000"/>
              </w:rPr>
              <w:t>дүгээр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сарын</w:t>
            </w:r>
            <w:proofErr w:type="spellEnd"/>
            <w:r w:rsidRPr="00B31EE1">
              <w:rPr>
                <w:rFonts w:ascii="Times New Roman" w:hAnsi="Times New Roman" w:cs="Times New Roman"/>
                <w:color w:val="000000"/>
              </w:rPr>
              <w:t xml:space="preserve"> 30-ны </w:t>
            </w:r>
            <w:proofErr w:type="spellStart"/>
            <w:r w:rsidRPr="00B31EE1">
              <w:rPr>
                <w:rFonts w:ascii="Times New Roman" w:hAnsi="Times New Roman" w:cs="Times New Roman"/>
                <w:color w:val="000000"/>
              </w:rPr>
              <w:t>өдрийн</w:t>
            </w:r>
            <w:proofErr w:type="spellEnd"/>
            <w:r w:rsidRPr="00B31EE1">
              <w:rPr>
                <w:rFonts w:ascii="Times New Roman" w:hAnsi="Times New Roman" w:cs="Times New Roman"/>
                <w:color w:val="000000"/>
              </w:rPr>
              <w:t xml:space="preserve">  08 </w:t>
            </w:r>
            <w:proofErr w:type="spellStart"/>
            <w:r w:rsidRPr="00B31EE1">
              <w:rPr>
                <w:rFonts w:ascii="Times New Roman" w:hAnsi="Times New Roman" w:cs="Times New Roman"/>
                <w:color w:val="000000"/>
              </w:rPr>
              <w:t>дугаар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Хуралдааны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тэмдэглэлээр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Монголын</w:t>
            </w:r>
            <w:proofErr w:type="spellEnd"/>
            <w:r w:rsidRPr="00B31EE1">
              <w:rPr>
                <w:rFonts w:ascii="Times New Roman" w:hAnsi="Times New Roman" w:cs="Times New Roman"/>
                <w:color w:val="000000"/>
              </w:rPr>
              <w:t xml:space="preserve"> хөрөнгийн </w:t>
            </w:r>
            <w:proofErr w:type="spellStart"/>
            <w:r w:rsidRPr="00B31EE1">
              <w:rPr>
                <w:rFonts w:ascii="Times New Roman" w:hAnsi="Times New Roman" w:cs="Times New Roman"/>
                <w:color w:val="000000"/>
              </w:rPr>
              <w:t>бирж</w:t>
            </w:r>
            <w:proofErr w:type="spellEnd"/>
            <w:r w:rsidRPr="00B31EE1">
              <w:rPr>
                <w:rFonts w:ascii="Times New Roman" w:hAnsi="Times New Roman" w:cs="Times New Roman"/>
                <w:color w:val="000000"/>
              </w:rPr>
              <w:t xml:space="preserve">" ХК </w:t>
            </w:r>
            <w:proofErr w:type="spellStart"/>
            <w:r w:rsidRPr="00B31EE1">
              <w:rPr>
                <w:rFonts w:ascii="Times New Roman" w:hAnsi="Times New Roman" w:cs="Times New Roman"/>
                <w:color w:val="000000"/>
              </w:rPr>
              <w:t>болон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түүний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төлөөлөн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удирдах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зөвлөлд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холбогдох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үүргийг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өгсөн</w:t>
            </w:r>
            <w:proofErr w:type="spellEnd"/>
            <w:r w:rsidRPr="00B31EE1">
              <w:rPr>
                <w:rFonts w:ascii="Times New Roman" w:hAnsi="Times New Roman" w:cs="Times New Roman"/>
                <w:color w:val="000000"/>
              </w:rPr>
              <w:t>.</w:t>
            </w:r>
            <w:r w:rsidRPr="00B31EE1">
              <w:rPr>
                <w:rFonts w:ascii="Times New Roman" w:hAnsi="Times New Roman" w:cs="Times New Roman"/>
                <w:color w:val="000000"/>
              </w:rPr>
              <w:br/>
            </w:r>
            <w:proofErr w:type="spellStart"/>
            <w:r w:rsidRPr="00B31EE1">
              <w:rPr>
                <w:rFonts w:ascii="Times New Roman" w:hAnsi="Times New Roman" w:cs="Times New Roman"/>
                <w:color w:val="000000"/>
              </w:rPr>
              <w:t>Түүнчлэн</w:t>
            </w:r>
            <w:proofErr w:type="spellEnd"/>
            <w:r w:rsidRPr="00B31EE1">
              <w:rPr>
                <w:rFonts w:ascii="Times New Roman" w:hAnsi="Times New Roman" w:cs="Times New Roman"/>
                <w:color w:val="000000"/>
              </w:rPr>
              <w:t>, АНУ-</w:t>
            </w:r>
            <w:proofErr w:type="spellStart"/>
            <w:r w:rsidRPr="00B31EE1">
              <w:rPr>
                <w:rFonts w:ascii="Times New Roman" w:hAnsi="Times New Roman" w:cs="Times New Roman"/>
                <w:color w:val="000000"/>
              </w:rPr>
              <w:t>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Таваарын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Фьючерс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Арилжааны</w:t>
            </w:r>
            <w:proofErr w:type="spellEnd"/>
            <w:r w:rsidRPr="00B31EE1">
              <w:rPr>
                <w:rFonts w:ascii="Times New Roman" w:hAnsi="Times New Roman" w:cs="Times New Roman"/>
                <w:color w:val="000000"/>
              </w:rPr>
              <w:t xml:space="preserve"> Хороо /CFTC/-</w:t>
            </w:r>
            <w:proofErr w:type="spellStart"/>
            <w:r w:rsidRPr="00B31EE1">
              <w:rPr>
                <w:rFonts w:ascii="Times New Roman" w:hAnsi="Times New Roman" w:cs="Times New Roman"/>
                <w:color w:val="000000"/>
              </w:rPr>
              <w:t>ны</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удирдлагуудтай</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04 </w:t>
            </w:r>
            <w:proofErr w:type="spellStart"/>
            <w:r w:rsidRPr="00B31EE1">
              <w:rPr>
                <w:rFonts w:ascii="Times New Roman" w:hAnsi="Times New Roman" w:cs="Times New Roman"/>
                <w:color w:val="000000"/>
              </w:rPr>
              <w:t>дүгээр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сарын</w:t>
            </w:r>
            <w:proofErr w:type="spellEnd"/>
            <w:r w:rsidRPr="00B31EE1">
              <w:rPr>
                <w:rFonts w:ascii="Times New Roman" w:hAnsi="Times New Roman" w:cs="Times New Roman"/>
                <w:color w:val="000000"/>
              </w:rPr>
              <w:t xml:space="preserve"> 19-ний </w:t>
            </w:r>
            <w:proofErr w:type="spellStart"/>
            <w:r w:rsidRPr="00B31EE1">
              <w:rPr>
                <w:rFonts w:ascii="Times New Roman" w:hAnsi="Times New Roman" w:cs="Times New Roman"/>
                <w:color w:val="000000"/>
              </w:rPr>
              <w:t>өдөр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албан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уулзалт</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хийж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уурхайн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бүтээгдэхүүнд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суурилсан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үүсмэл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санхүүгийн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хэрэгслийг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хөгжүүлэхтэй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холбоотойгоор</w:t>
            </w:r>
            <w:proofErr w:type="spellEnd"/>
            <w:r w:rsidRPr="00B31EE1">
              <w:rPr>
                <w:rFonts w:ascii="Times New Roman" w:hAnsi="Times New Roman" w:cs="Times New Roman"/>
                <w:color w:val="000000"/>
              </w:rPr>
              <w:t xml:space="preserve"> зах </w:t>
            </w:r>
            <w:proofErr w:type="spellStart"/>
            <w:r w:rsidRPr="00B31EE1">
              <w:rPr>
                <w:rFonts w:ascii="Times New Roman" w:hAnsi="Times New Roman" w:cs="Times New Roman"/>
                <w:color w:val="000000"/>
              </w:rPr>
              <w:t>зээлийн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мэргэжлийн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оролцогчдод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мэдлэг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мэдээлэл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түгээх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тэднийг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чадавхжуулах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талаас</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техник</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эдийн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засгийн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туслалцаа</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авахаар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тохиролцсон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Хорооноос</w:t>
            </w:r>
            <w:proofErr w:type="spellEnd"/>
            <w:r w:rsidRPr="00B31EE1">
              <w:rPr>
                <w:rFonts w:ascii="Times New Roman" w:hAnsi="Times New Roman" w:cs="Times New Roman"/>
                <w:color w:val="000000"/>
              </w:rPr>
              <w:t xml:space="preserve"> Монгол </w:t>
            </w:r>
            <w:proofErr w:type="spellStart"/>
            <w:r w:rsidRPr="00B31EE1">
              <w:rPr>
                <w:rFonts w:ascii="Times New Roman" w:hAnsi="Times New Roman" w:cs="Times New Roman"/>
                <w:color w:val="000000"/>
              </w:rPr>
              <w:t>Улсын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үүсмэл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санхүүгийн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хэрэгслийн</w:t>
            </w:r>
            <w:proofErr w:type="spellEnd"/>
            <w:r w:rsidRPr="00B31EE1">
              <w:rPr>
                <w:rFonts w:ascii="Times New Roman" w:hAnsi="Times New Roman" w:cs="Times New Roman"/>
                <w:color w:val="000000"/>
              </w:rPr>
              <w:t xml:space="preserve"> зах </w:t>
            </w:r>
            <w:proofErr w:type="spellStart"/>
            <w:r w:rsidRPr="00B31EE1">
              <w:rPr>
                <w:rFonts w:ascii="Times New Roman" w:hAnsi="Times New Roman" w:cs="Times New Roman"/>
                <w:color w:val="000000"/>
              </w:rPr>
              <w:t>зээлийг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хөгжүүлэх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зохицуулалтын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орчныг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сайжруулах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боловсронгуй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болгох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зорилгоор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зохицуулагч</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байгууллага</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дэд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бүтцийн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байгууллага</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дунд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гурван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өдрийн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сургалт</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хийхээр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хамтран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ажиллаж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байна</w:t>
            </w:r>
            <w:proofErr w:type="spellEnd"/>
            <w:r w:rsidRPr="00B31EE1">
              <w:rPr>
                <w:rFonts w:ascii="Times New Roman" w:hAnsi="Times New Roman" w:cs="Times New Roman"/>
                <w:color w:val="000000"/>
              </w:rPr>
              <w:t>.</w:t>
            </w:r>
            <w:r w:rsidRPr="00B31EE1">
              <w:rPr>
                <w:rFonts w:ascii="Times New Roman" w:hAnsi="Times New Roman" w:cs="Times New Roman"/>
                <w:color w:val="000000"/>
              </w:rPr>
              <w:br/>
            </w:r>
            <w:proofErr w:type="spellStart"/>
            <w:r w:rsidRPr="00B31EE1">
              <w:rPr>
                <w:rFonts w:ascii="Times New Roman" w:hAnsi="Times New Roman" w:cs="Times New Roman"/>
                <w:color w:val="000000"/>
              </w:rPr>
              <w:t>Мөн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Турк</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Улсын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Истанбулын</w:t>
            </w:r>
            <w:proofErr w:type="spellEnd"/>
            <w:r w:rsidRPr="00B31EE1">
              <w:rPr>
                <w:rFonts w:ascii="Times New Roman" w:hAnsi="Times New Roman" w:cs="Times New Roman"/>
                <w:color w:val="000000"/>
              </w:rPr>
              <w:t xml:space="preserve"> Хөрөнгийн </w:t>
            </w:r>
            <w:proofErr w:type="spellStart"/>
            <w:r w:rsidRPr="00B31EE1">
              <w:rPr>
                <w:rFonts w:ascii="Times New Roman" w:hAnsi="Times New Roman" w:cs="Times New Roman"/>
                <w:color w:val="000000"/>
              </w:rPr>
              <w:t>Бирж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Borsa</w:t>
            </w:r>
            <w:proofErr w:type="spellEnd"/>
            <w:r w:rsidRPr="00B31EE1">
              <w:rPr>
                <w:rFonts w:ascii="Times New Roman" w:hAnsi="Times New Roman" w:cs="Times New Roman"/>
                <w:color w:val="000000"/>
              </w:rPr>
              <w:t xml:space="preserve"> Istanbul/-</w:t>
            </w:r>
            <w:proofErr w:type="spellStart"/>
            <w:r w:rsidRPr="00B31EE1">
              <w:rPr>
                <w:rFonts w:ascii="Times New Roman" w:hAnsi="Times New Roman" w:cs="Times New Roman"/>
                <w:color w:val="000000"/>
              </w:rPr>
              <w:t>тай</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хамтран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нийт</w:t>
            </w:r>
            <w:proofErr w:type="spellEnd"/>
            <w:r w:rsidRPr="00B31EE1">
              <w:rPr>
                <w:rFonts w:ascii="Times New Roman" w:hAnsi="Times New Roman" w:cs="Times New Roman"/>
                <w:color w:val="000000"/>
              </w:rPr>
              <w:t xml:space="preserve"> зах </w:t>
            </w:r>
            <w:proofErr w:type="spellStart"/>
            <w:r w:rsidRPr="00B31EE1">
              <w:rPr>
                <w:rFonts w:ascii="Times New Roman" w:hAnsi="Times New Roman" w:cs="Times New Roman"/>
                <w:color w:val="000000"/>
              </w:rPr>
              <w:t>зээлд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оролцогч</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болон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дэд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бүтцийн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байгууллагын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чадавхыг</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бэхжүүлэх</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зорилгоор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Үүсмэл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санхүүгийн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хэрэгслийн</w:t>
            </w:r>
            <w:proofErr w:type="spellEnd"/>
            <w:r w:rsidRPr="00B31EE1">
              <w:rPr>
                <w:rFonts w:ascii="Times New Roman" w:hAnsi="Times New Roman" w:cs="Times New Roman"/>
                <w:color w:val="000000"/>
              </w:rPr>
              <w:t xml:space="preserve"> зах зээл </w:t>
            </w:r>
            <w:proofErr w:type="spellStart"/>
            <w:r w:rsidRPr="00B31EE1">
              <w:rPr>
                <w:rFonts w:ascii="Times New Roman" w:hAnsi="Times New Roman" w:cs="Times New Roman"/>
                <w:color w:val="000000"/>
              </w:rPr>
              <w:t>болон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Үл</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хөдлөх</w:t>
            </w:r>
            <w:proofErr w:type="spellEnd"/>
            <w:r w:rsidRPr="00B31EE1">
              <w:rPr>
                <w:rFonts w:ascii="Times New Roman" w:hAnsi="Times New Roman" w:cs="Times New Roman"/>
                <w:color w:val="000000"/>
              </w:rPr>
              <w:t xml:space="preserve"> хөрөнгийн </w:t>
            </w:r>
            <w:proofErr w:type="spellStart"/>
            <w:r w:rsidRPr="00B31EE1">
              <w:rPr>
                <w:rFonts w:ascii="Times New Roman" w:hAnsi="Times New Roman" w:cs="Times New Roman"/>
                <w:color w:val="000000"/>
              </w:rPr>
              <w:t>хөрөнгө</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оруулалтын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сэдэвт</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сургалтыг</w:t>
            </w:r>
            <w:proofErr w:type="spellEnd"/>
            <w:r w:rsidRPr="00B31EE1">
              <w:rPr>
                <w:rFonts w:ascii="Times New Roman" w:hAnsi="Times New Roman" w:cs="Times New Roman"/>
                <w:color w:val="000000"/>
              </w:rPr>
              <w:t xml:space="preserve"> 2024 </w:t>
            </w:r>
            <w:proofErr w:type="spellStart"/>
            <w:r w:rsidRPr="00B31EE1">
              <w:rPr>
                <w:rFonts w:ascii="Times New Roman" w:hAnsi="Times New Roman" w:cs="Times New Roman"/>
                <w:color w:val="000000"/>
              </w:rPr>
              <w:t>оны</w:t>
            </w:r>
            <w:proofErr w:type="spellEnd"/>
            <w:r w:rsidRPr="00B31EE1">
              <w:rPr>
                <w:rFonts w:ascii="Times New Roman" w:hAnsi="Times New Roman" w:cs="Times New Roman"/>
                <w:color w:val="000000"/>
              </w:rPr>
              <w:t xml:space="preserve"> 10 </w:t>
            </w:r>
            <w:proofErr w:type="spellStart"/>
            <w:r w:rsidRPr="00B31EE1">
              <w:rPr>
                <w:rFonts w:ascii="Times New Roman" w:hAnsi="Times New Roman" w:cs="Times New Roman"/>
                <w:color w:val="000000"/>
              </w:rPr>
              <w:t>дугаар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сард</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Истанбулын</w:t>
            </w:r>
            <w:proofErr w:type="spellEnd"/>
            <w:r w:rsidRPr="00B31EE1">
              <w:rPr>
                <w:rFonts w:ascii="Times New Roman" w:hAnsi="Times New Roman" w:cs="Times New Roman"/>
                <w:color w:val="000000"/>
              </w:rPr>
              <w:t xml:space="preserve"> Хөрөнгийн </w:t>
            </w:r>
            <w:proofErr w:type="spellStart"/>
            <w:r w:rsidRPr="00B31EE1">
              <w:rPr>
                <w:rFonts w:ascii="Times New Roman" w:hAnsi="Times New Roman" w:cs="Times New Roman"/>
                <w:color w:val="000000"/>
              </w:rPr>
              <w:t>Бирж</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дээр</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зохион</w:t>
            </w:r>
            <w:proofErr w:type="spellEnd"/>
            <w:r w:rsidRPr="00B31EE1">
              <w:rPr>
                <w:rFonts w:ascii="Times New Roman" w:hAnsi="Times New Roman" w:cs="Times New Roman"/>
                <w:color w:val="000000"/>
              </w:rPr>
              <w:t xml:space="preserve"> </w:t>
            </w:r>
            <w:proofErr w:type="spellStart"/>
            <w:r w:rsidRPr="00B31EE1">
              <w:rPr>
                <w:rFonts w:ascii="Times New Roman" w:hAnsi="Times New Roman" w:cs="Times New Roman"/>
                <w:color w:val="000000"/>
              </w:rPr>
              <w:t>байгуулсан</w:t>
            </w:r>
            <w:proofErr w:type="spellEnd"/>
            <w:r w:rsidRPr="00B31EE1">
              <w:rPr>
                <w:rFonts w:ascii="Times New Roman" w:hAnsi="Times New Roman" w:cs="Times New Roman"/>
                <w:color w:val="000000"/>
              </w:rPr>
              <w:t>.</w:t>
            </w:r>
          </w:p>
        </w:tc>
        <w:tc>
          <w:tcPr>
            <w:tcW w:w="1011" w:type="dxa"/>
          </w:tcPr>
          <w:p w:rsidR="00B95FCC" w:rsidRPr="00A7073E" w:rsidRDefault="008864C9" w:rsidP="00133DD5">
            <w:pPr>
              <w:spacing w:after="120"/>
              <w:jc w:val="center"/>
              <w:rPr>
                <w:rFonts w:ascii="Times New Roman" w:hAnsi="Times New Roman" w:cs="Times New Roman"/>
                <w:lang w:val="mn-MN"/>
              </w:rPr>
            </w:pPr>
            <w:r w:rsidRPr="00A7073E">
              <w:rPr>
                <w:rFonts w:ascii="Times New Roman" w:hAnsi="Times New Roman" w:cs="Times New Roman"/>
                <w:lang w:val="mn-MN"/>
              </w:rPr>
              <w:lastRenderedPageBreak/>
              <w:t>80</w:t>
            </w:r>
          </w:p>
        </w:tc>
      </w:tr>
      <w:tr w:rsidR="00DD4885" w:rsidTr="00485753">
        <w:tc>
          <w:tcPr>
            <w:tcW w:w="708" w:type="dxa"/>
          </w:tcPr>
          <w:p w:rsidR="00B95FCC" w:rsidRDefault="00B95FCC" w:rsidP="00133DD5">
            <w:pPr>
              <w:spacing w:after="120"/>
              <w:jc w:val="center"/>
              <w:rPr>
                <w:rFonts w:ascii="Times New Roman" w:hAnsi="Times New Roman" w:cs="Times New Roman"/>
                <w:b/>
                <w:bCs/>
                <w:lang w:val="mn-MN"/>
              </w:rPr>
            </w:pPr>
            <w:r>
              <w:rPr>
                <w:rFonts w:ascii="Times New Roman" w:hAnsi="Times New Roman" w:cs="Times New Roman"/>
                <w:b/>
                <w:bCs/>
                <w:lang w:val="mn-MN"/>
              </w:rPr>
              <w:t>2</w:t>
            </w:r>
          </w:p>
        </w:tc>
        <w:tc>
          <w:tcPr>
            <w:tcW w:w="2553" w:type="dxa"/>
          </w:tcPr>
          <w:p w:rsidR="00B95FCC" w:rsidRPr="00B95FCC" w:rsidRDefault="00B95FCC" w:rsidP="00DD4885">
            <w:pPr>
              <w:spacing w:after="120"/>
              <w:rPr>
                <w:rFonts w:ascii="Times New Roman" w:hAnsi="Times New Roman" w:cs="Times New Roman"/>
                <w:lang w:val="mn-MN"/>
              </w:rPr>
            </w:pPr>
            <w:r w:rsidRPr="00B95FCC">
              <w:rPr>
                <w:rFonts w:ascii="Times New Roman" w:hAnsi="Times New Roman" w:cs="Times New Roman"/>
                <w:lang w:val="mn-MN"/>
              </w:rPr>
              <w:t>Хоёр.Хөрөнгө оруулалтыг нэмэгдүүлнэ</w:t>
            </w:r>
          </w:p>
        </w:tc>
        <w:tc>
          <w:tcPr>
            <w:tcW w:w="1701" w:type="dxa"/>
          </w:tcPr>
          <w:p w:rsidR="00B95FCC" w:rsidRPr="00B95FCC" w:rsidRDefault="00B95FCC" w:rsidP="00B95FCC">
            <w:pPr>
              <w:spacing w:after="120"/>
              <w:jc w:val="both"/>
              <w:rPr>
                <w:rFonts w:ascii="Times New Roman" w:hAnsi="Times New Roman" w:cs="Times New Roman"/>
                <w:lang w:val="mn-MN"/>
              </w:rPr>
            </w:pPr>
            <w:r w:rsidRPr="00B95FCC">
              <w:rPr>
                <w:rFonts w:ascii="Times New Roman" w:hAnsi="Times New Roman" w:cs="Times New Roman"/>
                <w:lang w:val="mn-MN"/>
              </w:rPr>
              <w:t xml:space="preserve">2.1.2 </w:t>
            </w:r>
            <w:r>
              <w:rPr>
                <w:rFonts w:ascii="Times New Roman" w:hAnsi="Times New Roman" w:cs="Times New Roman"/>
                <w:lang w:val="mn-MN"/>
              </w:rPr>
              <w:t xml:space="preserve"> </w:t>
            </w:r>
            <w:r w:rsidRPr="00B95FCC">
              <w:rPr>
                <w:rFonts w:ascii="Times New Roman" w:hAnsi="Times New Roman" w:cs="Times New Roman"/>
                <w:lang w:val="mn-MN"/>
              </w:rPr>
              <w:t xml:space="preserve">Банк, санхүүгийн салбарын өрсөлдөөнийг нэмэгдүүлэх замаар </w:t>
            </w:r>
            <w:r w:rsidRPr="00B95FCC">
              <w:rPr>
                <w:rFonts w:ascii="Times New Roman" w:hAnsi="Times New Roman" w:cs="Times New Roman"/>
                <w:lang w:val="mn-MN"/>
              </w:rPr>
              <w:lastRenderedPageBreak/>
              <w:t>санхүүгийн үйлчилгээний зардлыг бууруулж, хөрөнгө оруулалтын эх үүсвэрийг нэмэгдүүлнэ</w:t>
            </w:r>
          </w:p>
        </w:tc>
        <w:tc>
          <w:tcPr>
            <w:tcW w:w="1559" w:type="dxa"/>
          </w:tcPr>
          <w:p w:rsidR="00B95FCC" w:rsidRPr="00B95FCC" w:rsidRDefault="00B95FCC" w:rsidP="00B95FCC">
            <w:pPr>
              <w:spacing w:after="120"/>
              <w:jc w:val="center"/>
              <w:rPr>
                <w:rFonts w:ascii="Times New Roman" w:hAnsi="Times New Roman" w:cs="Times New Roman"/>
                <w:lang w:val="mn-MN"/>
              </w:rPr>
            </w:pPr>
            <w:r w:rsidRPr="00B95FCC">
              <w:rPr>
                <w:rFonts w:ascii="Times New Roman" w:hAnsi="Times New Roman" w:cs="Times New Roman"/>
                <w:lang w:val="mn-MN"/>
              </w:rPr>
              <w:lastRenderedPageBreak/>
              <w:t>Монголбанк, СЗХ, СЯ</w:t>
            </w:r>
          </w:p>
        </w:tc>
        <w:tc>
          <w:tcPr>
            <w:tcW w:w="7210" w:type="dxa"/>
          </w:tcPr>
          <w:p w:rsidR="00B95FCC" w:rsidRDefault="00B95FCC" w:rsidP="00B95FCC">
            <w:pPr>
              <w:spacing w:after="120"/>
              <w:jc w:val="both"/>
              <w:rPr>
                <w:rFonts w:ascii="Times New Roman" w:hAnsi="Times New Roman" w:cs="Times New Roman"/>
                <w:lang w:val="mn-MN"/>
              </w:rPr>
            </w:pPr>
            <w:r w:rsidRPr="00B95FCC">
              <w:rPr>
                <w:rFonts w:ascii="Times New Roman" w:hAnsi="Times New Roman" w:cs="Times New Roman"/>
                <w:lang w:val="mn-MN"/>
              </w:rPr>
              <w:t>Б</w:t>
            </w:r>
            <w:r w:rsidR="008F4B1F">
              <w:rPr>
                <w:rFonts w:ascii="Times New Roman" w:hAnsi="Times New Roman" w:cs="Times New Roman"/>
                <w:lang w:val="mn-MN"/>
              </w:rPr>
              <w:t xml:space="preserve">анк бус </w:t>
            </w:r>
            <w:r w:rsidR="001E75FD">
              <w:rPr>
                <w:rFonts w:ascii="Times New Roman" w:hAnsi="Times New Roman" w:cs="Times New Roman"/>
                <w:lang w:val="mn-MN"/>
              </w:rPr>
              <w:t>санхүүгийн байгууллагуудын</w:t>
            </w:r>
            <w:r w:rsidRPr="00B95FCC">
              <w:rPr>
                <w:rFonts w:ascii="Times New Roman" w:hAnsi="Times New Roman" w:cs="Times New Roman"/>
                <w:lang w:val="mn-MN"/>
              </w:rPr>
              <w:t xml:space="preserve"> хувь нийлүүлсэн хөрөнгө, бусдаас татан төвлөрүүлэх эх үүсвэр, бүтээгдэхүүн үйлчилгээний хүртээмжийг нэмэгдүүлэх бодлогын арга хэмжээнүүдийг авч хэрэгжүүлсний үр дүнд </w:t>
            </w:r>
            <w:r w:rsidR="001E75FD">
              <w:rPr>
                <w:rFonts w:ascii="Times New Roman" w:hAnsi="Times New Roman" w:cs="Times New Roman"/>
                <w:lang w:val="mn-MN"/>
              </w:rPr>
              <w:t>банк бус санхүүгийн байгууллагуудын</w:t>
            </w:r>
            <w:r w:rsidRPr="00B95FCC">
              <w:rPr>
                <w:rFonts w:ascii="Times New Roman" w:hAnsi="Times New Roman" w:cs="Times New Roman"/>
                <w:lang w:val="mn-MN"/>
              </w:rPr>
              <w:t xml:space="preserve"> хөрөнгө оруулалт өмнөх оны мөн үеэс 73.8 хувиар буюу 30.7 тэрбум төгрөгөөр өсөж, 2024 оны III улирлын байдлаар 36 ББСБ 72.4 тэрбум төгрөгийн хөрөнгө оруулалтын үлдэгдэлтэй </w:t>
            </w:r>
            <w:r w:rsidRPr="00B95FCC">
              <w:rPr>
                <w:rFonts w:ascii="Times New Roman" w:hAnsi="Times New Roman" w:cs="Times New Roman"/>
                <w:lang w:val="mn-MN"/>
              </w:rPr>
              <w:lastRenderedPageBreak/>
              <w:t>гарсан байна. Хөрөнгө оруулалтын 0.3% буюу 248.7 сая төгрөгийг хадгаламжийн сертификат, 99.7% буюу 72.2 тэрбум төгрөгийг үнэт цаасаарх хөрөнгө оруулалт бүрдүүлж байна.</w:t>
            </w:r>
          </w:p>
          <w:p w:rsidR="00DE52A6" w:rsidRPr="00B95FCC" w:rsidRDefault="00DE52A6" w:rsidP="00B95FCC">
            <w:pPr>
              <w:spacing w:after="120"/>
              <w:jc w:val="both"/>
              <w:rPr>
                <w:rFonts w:ascii="Times New Roman" w:hAnsi="Times New Roman" w:cs="Times New Roman"/>
                <w:lang w:val="mn-MN"/>
              </w:rPr>
            </w:pPr>
            <w:r w:rsidRPr="00F626A8">
              <w:rPr>
                <w:rFonts w:ascii="Times New Roman" w:eastAsia="Times New Roman" w:hAnsi="Times New Roman" w:cs="Times New Roman"/>
                <w:lang w:val="mn"/>
              </w:rPr>
              <w:t>2024 оны гуравдугаар улирлын байдлаар хөрөнгийн зах зээлийн үнэлгээ 12.1 их наяд төгрөг, үнэт цаасны арилжаа 1.06 их наяд төгрөг байна.</w:t>
            </w:r>
          </w:p>
        </w:tc>
        <w:tc>
          <w:tcPr>
            <w:tcW w:w="1011" w:type="dxa"/>
          </w:tcPr>
          <w:p w:rsidR="00B95FCC" w:rsidRPr="00A7073E" w:rsidRDefault="00A7073E" w:rsidP="00133DD5">
            <w:pPr>
              <w:spacing w:after="120"/>
              <w:jc w:val="center"/>
              <w:rPr>
                <w:rFonts w:ascii="Times New Roman" w:hAnsi="Times New Roman" w:cs="Times New Roman"/>
                <w:lang w:val="mn-MN"/>
              </w:rPr>
            </w:pPr>
            <w:r w:rsidRPr="00A7073E">
              <w:rPr>
                <w:rFonts w:ascii="Times New Roman" w:hAnsi="Times New Roman" w:cs="Times New Roman"/>
                <w:lang w:val="mn-MN"/>
              </w:rPr>
              <w:lastRenderedPageBreak/>
              <w:t>95</w:t>
            </w:r>
          </w:p>
        </w:tc>
      </w:tr>
    </w:tbl>
    <w:p w:rsidR="00980398" w:rsidRDefault="00980398" w:rsidP="00B95FCC">
      <w:pPr>
        <w:spacing w:after="120" w:line="240" w:lineRule="auto"/>
        <w:rPr>
          <w:rFonts w:ascii="Times New Roman" w:hAnsi="Times New Roman" w:cs="Times New Roman"/>
          <w:b/>
          <w:bCs/>
          <w:lang w:val="mn-MN"/>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F669B7" w:rsidRDefault="00F669B7" w:rsidP="00511ACF">
      <w:pPr>
        <w:spacing w:after="0" w:line="240" w:lineRule="auto"/>
        <w:rPr>
          <w:rStyle w:val="Strong"/>
          <w:rFonts w:ascii="Times New Roman" w:hAnsi="Times New Roman" w:cs="Times New Roman"/>
          <w:shd w:val="clear" w:color="auto" w:fill="FFFFFF"/>
        </w:rPr>
      </w:pPr>
    </w:p>
    <w:p w:rsidR="00F669B7" w:rsidRDefault="00F669B7" w:rsidP="00F669B7">
      <w:pPr>
        <w:spacing w:after="0" w:line="240" w:lineRule="auto"/>
        <w:jc w:val="center"/>
        <w:rPr>
          <w:rStyle w:val="Strong"/>
          <w:rFonts w:ascii="Times New Roman" w:hAnsi="Times New Roman" w:cs="Times New Roman"/>
          <w:shd w:val="clear" w:color="auto" w:fill="FFFFFF"/>
        </w:rPr>
      </w:pPr>
    </w:p>
    <w:p w:rsidR="004F79AB" w:rsidRDefault="004F79AB" w:rsidP="00511ACF">
      <w:pPr>
        <w:spacing w:after="0" w:line="240" w:lineRule="auto"/>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9D6B67" w:rsidRDefault="009D6B67" w:rsidP="00F669B7">
      <w:pPr>
        <w:spacing w:after="0" w:line="240" w:lineRule="auto"/>
        <w:jc w:val="center"/>
        <w:rPr>
          <w:rStyle w:val="Strong"/>
          <w:rFonts w:ascii="Times New Roman" w:hAnsi="Times New Roman" w:cs="Times New Roman"/>
          <w:shd w:val="clear" w:color="auto" w:fill="FFFFFF"/>
        </w:rPr>
      </w:pPr>
    </w:p>
    <w:p w:rsidR="00F669B7" w:rsidRPr="00A7281F" w:rsidRDefault="00F669B7" w:rsidP="00F669B7">
      <w:pPr>
        <w:spacing w:after="0" w:line="240" w:lineRule="auto"/>
        <w:jc w:val="center"/>
        <w:rPr>
          <w:rStyle w:val="Strong"/>
          <w:rFonts w:ascii="Times New Roman" w:hAnsi="Times New Roman" w:cs="Times New Roman"/>
          <w:shd w:val="clear" w:color="auto" w:fill="FFFFFF"/>
          <w:lang w:val="mn-MN"/>
        </w:rPr>
      </w:pPr>
      <w:r w:rsidRPr="00A7281F">
        <w:rPr>
          <w:rStyle w:val="Strong"/>
          <w:rFonts w:ascii="Times New Roman" w:hAnsi="Times New Roman" w:cs="Times New Roman"/>
          <w:shd w:val="clear" w:color="auto" w:fill="FFFFFF"/>
        </w:rPr>
        <w:t>МОНГОЛ УЛСЫН ХӨГЖЛИЙН 202</w:t>
      </w:r>
      <w:r w:rsidRPr="00A7281F">
        <w:rPr>
          <w:rStyle w:val="Strong"/>
          <w:rFonts w:ascii="Times New Roman" w:hAnsi="Times New Roman" w:cs="Times New Roman"/>
          <w:shd w:val="clear" w:color="auto" w:fill="FFFFFF"/>
          <w:lang w:val="mn-MN"/>
        </w:rPr>
        <w:t>4</w:t>
      </w:r>
      <w:r w:rsidRPr="00A7281F">
        <w:rPr>
          <w:rStyle w:val="Strong"/>
          <w:rFonts w:ascii="Times New Roman" w:hAnsi="Times New Roman" w:cs="Times New Roman"/>
          <w:shd w:val="clear" w:color="auto" w:fill="FFFFFF"/>
        </w:rPr>
        <w:t xml:space="preserve"> ОНЫ ТӨЛӨВЛӨГӨӨ</w:t>
      </w:r>
      <w:r w:rsidRPr="00A7281F">
        <w:rPr>
          <w:rStyle w:val="Strong"/>
          <w:rFonts w:ascii="Times New Roman" w:hAnsi="Times New Roman" w:cs="Times New Roman"/>
          <w:shd w:val="clear" w:color="auto" w:fill="FFFFFF"/>
          <w:lang w:val="mn-MN"/>
        </w:rPr>
        <w:t xml:space="preserve">НИЙ </w:t>
      </w:r>
      <w:r>
        <w:rPr>
          <w:rStyle w:val="Strong"/>
          <w:rFonts w:ascii="Times New Roman" w:hAnsi="Times New Roman" w:cs="Times New Roman"/>
          <w:shd w:val="clear" w:color="auto" w:fill="FFFFFF"/>
          <w:lang w:val="mn-MN"/>
        </w:rPr>
        <w:t>ЖИЛИЙН ЭЦСИЙН</w:t>
      </w:r>
      <w:r w:rsidRPr="00A7281F">
        <w:rPr>
          <w:rStyle w:val="Strong"/>
          <w:rFonts w:ascii="Times New Roman" w:hAnsi="Times New Roman" w:cs="Times New Roman"/>
          <w:shd w:val="clear" w:color="auto" w:fill="FFFFFF"/>
          <w:lang w:val="mn-MN"/>
        </w:rPr>
        <w:t xml:space="preserve"> ХЭРЭГЖИЛТ</w:t>
      </w:r>
    </w:p>
    <w:p w:rsidR="00F669B7" w:rsidRDefault="00F669B7" w:rsidP="00F669B7">
      <w:pPr>
        <w:spacing w:after="120" w:line="240" w:lineRule="auto"/>
        <w:jc w:val="center"/>
        <w:rPr>
          <w:rFonts w:ascii="Times New Roman" w:hAnsi="Times New Roman" w:cs="Times New Roman"/>
          <w:b/>
          <w:bCs/>
          <w:lang w:val="mn-MN"/>
        </w:rPr>
      </w:pPr>
      <w:r w:rsidRPr="00A7281F">
        <w:rPr>
          <w:rFonts w:ascii="Times New Roman" w:hAnsi="Times New Roman" w:cs="Times New Roman"/>
          <w:b/>
          <w:bCs/>
          <w:lang w:val="mn-MN"/>
        </w:rPr>
        <w:t>/Санхүүгийн зохицуулах хороо/</w:t>
      </w:r>
    </w:p>
    <w:p w:rsidR="00B95FCC" w:rsidRPr="00A7281F" w:rsidRDefault="00B95FCC" w:rsidP="00B95FCC">
      <w:pPr>
        <w:spacing w:after="120" w:line="240" w:lineRule="auto"/>
        <w:rPr>
          <w:rFonts w:ascii="Times New Roman" w:hAnsi="Times New Roman" w:cs="Times New Roman"/>
          <w:b/>
          <w:bCs/>
          <w:lang w:val="mn-MN"/>
        </w:rPr>
      </w:pPr>
    </w:p>
    <w:tbl>
      <w:tblPr>
        <w:tblStyle w:val="TableGrid"/>
        <w:tblW w:w="14601" w:type="dxa"/>
        <w:tblInd w:w="-998" w:type="dxa"/>
        <w:tblLayout w:type="fixed"/>
        <w:tblLook w:val="04A0" w:firstRow="1" w:lastRow="0" w:firstColumn="1" w:lastColumn="0" w:noHBand="0" w:noVBand="1"/>
      </w:tblPr>
      <w:tblGrid>
        <w:gridCol w:w="709"/>
        <w:gridCol w:w="1985"/>
        <w:gridCol w:w="1418"/>
        <w:gridCol w:w="709"/>
        <w:gridCol w:w="992"/>
        <w:gridCol w:w="850"/>
        <w:gridCol w:w="993"/>
        <w:gridCol w:w="992"/>
        <w:gridCol w:w="283"/>
        <w:gridCol w:w="567"/>
        <w:gridCol w:w="567"/>
        <w:gridCol w:w="3828"/>
        <w:gridCol w:w="708"/>
      </w:tblGrid>
      <w:tr w:rsidR="00F70DA5" w:rsidRPr="00A7281F" w:rsidTr="0000007B">
        <w:trPr>
          <w:trHeight w:val="495"/>
        </w:trPr>
        <w:tc>
          <w:tcPr>
            <w:tcW w:w="709" w:type="dxa"/>
            <w:vMerge w:val="restart"/>
          </w:tcPr>
          <w:p w:rsidR="00F70DA5" w:rsidRPr="00A7281F" w:rsidRDefault="00F70DA5" w:rsidP="00AA015E">
            <w:pPr>
              <w:jc w:val="center"/>
              <w:rPr>
                <w:rFonts w:ascii="Times New Roman" w:hAnsi="Times New Roman" w:cs="Times New Roman"/>
                <w:lang w:val="mn-MN"/>
              </w:rPr>
            </w:pPr>
            <w:bookmarkStart w:id="1" w:name="_Hlk168306693"/>
            <w:r w:rsidRPr="00A7281F">
              <w:rPr>
                <w:rFonts w:ascii="Times New Roman" w:hAnsi="Times New Roman" w:cs="Times New Roman"/>
                <w:lang w:val="mn-MN"/>
              </w:rPr>
              <w:t>№</w:t>
            </w:r>
          </w:p>
        </w:tc>
        <w:tc>
          <w:tcPr>
            <w:tcW w:w="1985" w:type="dxa"/>
            <w:vMerge w:val="restart"/>
          </w:tcPr>
          <w:p w:rsidR="00F70DA5" w:rsidRPr="00A7281F" w:rsidRDefault="00F70DA5" w:rsidP="00AA015E">
            <w:pPr>
              <w:jc w:val="center"/>
              <w:rPr>
                <w:rFonts w:ascii="Times New Roman" w:hAnsi="Times New Roman" w:cs="Times New Roman"/>
                <w:color w:val="000000"/>
                <w:shd w:val="clear" w:color="auto" w:fill="FFFFFF"/>
                <w:lang w:val="mn-MN"/>
              </w:rPr>
            </w:pPr>
            <w:r w:rsidRPr="00A7281F">
              <w:rPr>
                <w:rFonts w:ascii="Times New Roman" w:hAnsi="Times New Roman" w:cs="Times New Roman"/>
                <w:color w:val="000000"/>
                <w:shd w:val="clear" w:color="auto" w:fill="FFFFFF"/>
              </w:rPr>
              <w:t>ХБТББ*- </w:t>
            </w:r>
            <w:r w:rsidRPr="00A7281F">
              <w:rPr>
                <w:rFonts w:ascii="Times New Roman" w:hAnsi="Times New Roman" w:cs="Times New Roman"/>
                <w:color w:val="000000"/>
                <w:shd w:val="clear" w:color="auto" w:fill="FFFFFF"/>
                <w:lang w:val="mn-MN"/>
              </w:rPr>
              <w:t>т</w:t>
            </w:r>
          </w:p>
          <w:p w:rsidR="00F70DA5" w:rsidRPr="00A7281F" w:rsidRDefault="00F70DA5" w:rsidP="00AA015E">
            <w:pPr>
              <w:jc w:val="center"/>
              <w:rPr>
                <w:rFonts w:ascii="Times New Roman" w:hAnsi="Times New Roman" w:cs="Times New Roman"/>
                <w:color w:val="000000"/>
                <w:shd w:val="clear" w:color="auto" w:fill="FFFFFF"/>
              </w:rPr>
            </w:pPr>
            <w:r w:rsidRPr="00A7281F">
              <w:rPr>
                <w:rFonts w:ascii="Times New Roman" w:hAnsi="Times New Roman" w:cs="Times New Roman"/>
                <w:color w:val="000000"/>
                <w:shd w:val="clear" w:color="auto" w:fill="FFFFFF"/>
              </w:rPr>
              <w:t>тусгагдсан зорилт</w:t>
            </w:r>
          </w:p>
          <w:p w:rsidR="00F70DA5" w:rsidRPr="00A7281F" w:rsidRDefault="00F70DA5" w:rsidP="00AA015E">
            <w:pPr>
              <w:jc w:val="center"/>
              <w:rPr>
                <w:rFonts w:ascii="Times New Roman" w:hAnsi="Times New Roman" w:cs="Times New Roman"/>
              </w:rPr>
            </w:pPr>
            <w:r w:rsidRPr="00A7281F">
              <w:rPr>
                <w:rFonts w:ascii="Times New Roman" w:hAnsi="Times New Roman" w:cs="Times New Roman"/>
                <w:color w:val="000000"/>
                <w:shd w:val="clear" w:color="auto" w:fill="FFFFFF"/>
              </w:rPr>
              <w:t>/үйл ажиллагаа</w:t>
            </w:r>
          </w:p>
        </w:tc>
        <w:tc>
          <w:tcPr>
            <w:tcW w:w="1418" w:type="dxa"/>
            <w:vMerge w:val="restart"/>
          </w:tcPr>
          <w:p w:rsidR="00F70DA5" w:rsidRPr="00A7281F" w:rsidRDefault="00F70DA5" w:rsidP="00AA015E">
            <w:pPr>
              <w:jc w:val="center"/>
              <w:rPr>
                <w:rFonts w:ascii="Times New Roman" w:hAnsi="Times New Roman" w:cs="Times New Roman"/>
                <w:color w:val="000000"/>
                <w:shd w:val="clear" w:color="auto" w:fill="FFFFFF"/>
              </w:rPr>
            </w:pPr>
            <w:r w:rsidRPr="00A7281F">
              <w:rPr>
                <w:rFonts w:ascii="Times New Roman" w:hAnsi="Times New Roman" w:cs="Times New Roman"/>
                <w:color w:val="000000"/>
                <w:shd w:val="clear" w:color="auto" w:fill="FFFFFF"/>
              </w:rPr>
              <w:t>Зорилтыг</w:t>
            </w:r>
          </w:p>
          <w:p w:rsidR="00F70DA5" w:rsidRPr="00A7281F" w:rsidRDefault="00F70DA5" w:rsidP="00AA015E">
            <w:pPr>
              <w:jc w:val="center"/>
              <w:rPr>
                <w:rFonts w:ascii="Times New Roman" w:hAnsi="Times New Roman" w:cs="Times New Roman"/>
                <w:color w:val="000000"/>
                <w:shd w:val="clear" w:color="auto" w:fill="FFFFFF"/>
              </w:rPr>
            </w:pPr>
            <w:r w:rsidRPr="00A7281F">
              <w:rPr>
                <w:rFonts w:ascii="Times New Roman" w:hAnsi="Times New Roman" w:cs="Times New Roman"/>
                <w:color w:val="000000"/>
                <w:shd w:val="clear" w:color="auto" w:fill="FFFFFF"/>
              </w:rPr>
              <w:t>хэрэгжүүлэх</w:t>
            </w:r>
          </w:p>
          <w:p w:rsidR="00F70DA5" w:rsidRPr="00A7281F" w:rsidRDefault="00F70DA5" w:rsidP="00AA015E">
            <w:pPr>
              <w:jc w:val="center"/>
              <w:rPr>
                <w:rFonts w:ascii="Times New Roman" w:hAnsi="Times New Roman" w:cs="Times New Roman"/>
              </w:rPr>
            </w:pPr>
            <w:r w:rsidRPr="00A7281F">
              <w:rPr>
                <w:rFonts w:ascii="Times New Roman" w:hAnsi="Times New Roman" w:cs="Times New Roman"/>
                <w:color w:val="000000"/>
                <w:shd w:val="clear" w:color="auto" w:fill="FFFFFF"/>
              </w:rPr>
              <w:t>арга хэмжээ</w:t>
            </w:r>
          </w:p>
        </w:tc>
        <w:tc>
          <w:tcPr>
            <w:tcW w:w="709" w:type="dxa"/>
            <w:vMerge w:val="restart"/>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Хэрэгжих хугацаа</w:t>
            </w:r>
          </w:p>
        </w:tc>
        <w:tc>
          <w:tcPr>
            <w:tcW w:w="992" w:type="dxa"/>
            <w:vMerge w:val="restart"/>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Үндсэн хэрэгжүүлэх байгууллага</w:t>
            </w:r>
          </w:p>
        </w:tc>
        <w:tc>
          <w:tcPr>
            <w:tcW w:w="850" w:type="dxa"/>
            <w:vMerge w:val="restart"/>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Эх үүсвэр</w:t>
            </w:r>
          </w:p>
        </w:tc>
        <w:tc>
          <w:tcPr>
            <w:tcW w:w="993" w:type="dxa"/>
            <w:vMerge w:val="restart"/>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Нийт хөрөнгийн хэмжээ /сая.төгрөг/</w:t>
            </w:r>
          </w:p>
        </w:tc>
        <w:tc>
          <w:tcPr>
            <w:tcW w:w="992" w:type="dxa"/>
            <w:vMerge w:val="restart"/>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Суурь түвшин</w:t>
            </w:r>
          </w:p>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/2022/</w:t>
            </w:r>
          </w:p>
        </w:tc>
        <w:tc>
          <w:tcPr>
            <w:tcW w:w="1417" w:type="dxa"/>
            <w:gridSpan w:val="3"/>
          </w:tcPr>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Зорилтод түвшин</w:t>
            </w:r>
          </w:p>
          <w:p w:rsidR="00F70DA5" w:rsidRPr="00A7281F" w:rsidRDefault="00F70DA5" w:rsidP="00AA015E">
            <w:pPr>
              <w:jc w:val="center"/>
              <w:rPr>
                <w:rFonts w:ascii="Times New Roman" w:hAnsi="Times New Roman" w:cs="Times New Roman"/>
                <w:lang w:val="mn-MN"/>
              </w:rPr>
            </w:pPr>
            <w:r w:rsidRPr="00A7281F">
              <w:rPr>
                <w:rFonts w:ascii="Times New Roman" w:hAnsi="Times New Roman" w:cs="Times New Roman"/>
                <w:lang w:val="mn-MN"/>
              </w:rPr>
              <w:t>/2024/</w:t>
            </w:r>
          </w:p>
        </w:tc>
        <w:tc>
          <w:tcPr>
            <w:tcW w:w="3828" w:type="dxa"/>
            <w:vMerge w:val="restart"/>
            <w:vAlign w:val="center"/>
          </w:tcPr>
          <w:p w:rsidR="00F70DA5" w:rsidRPr="00A7281F" w:rsidRDefault="00F70DA5" w:rsidP="00E43F61">
            <w:pPr>
              <w:jc w:val="center"/>
              <w:rPr>
                <w:rFonts w:ascii="Times New Roman" w:hAnsi="Times New Roman" w:cs="Times New Roman"/>
                <w:lang w:val="mn-MN"/>
              </w:rPr>
            </w:pPr>
            <w:r w:rsidRPr="00A7281F">
              <w:rPr>
                <w:rFonts w:ascii="Times New Roman" w:hAnsi="Times New Roman" w:cs="Times New Roman"/>
                <w:lang w:val="mn-MN"/>
              </w:rPr>
              <w:t>Хэрэгжилтийн явц</w:t>
            </w:r>
          </w:p>
        </w:tc>
        <w:tc>
          <w:tcPr>
            <w:tcW w:w="708" w:type="dxa"/>
            <w:vMerge w:val="restart"/>
          </w:tcPr>
          <w:p w:rsidR="00F70DA5" w:rsidRPr="00A7281F" w:rsidRDefault="00C83527" w:rsidP="00AA015E">
            <w:pPr>
              <w:jc w:val="center"/>
              <w:rPr>
                <w:rFonts w:ascii="Times New Roman" w:hAnsi="Times New Roman" w:cs="Times New Roman"/>
                <w:lang w:val="mn-MN"/>
              </w:rPr>
            </w:pPr>
            <w:r w:rsidRPr="00A7281F">
              <w:rPr>
                <w:rFonts w:ascii="Times New Roman" w:hAnsi="Times New Roman"/>
                <w:lang w:val="mn-MN" w:bidi="mn-Mong-CN"/>
              </w:rPr>
              <w:t>Х</w:t>
            </w:r>
            <w:r w:rsidR="00F70DA5" w:rsidRPr="00A7281F">
              <w:rPr>
                <w:rFonts w:ascii="Times New Roman" w:hAnsi="Times New Roman" w:cs="Times New Roman"/>
                <w:lang w:val="mn-MN"/>
              </w:rPr>
              <w:t>увь</w:t>
            </w:r>
          </w:p>
        </w:tc>
      </w:tr>
      <w:tr w:rsidR="00F70DA5" w:rsidRPr="00A7281F" w:rsidTr="0000007B">
        <w:trPr>
          <w:trHeight w:val="570"/>
        </w:trPr>
        <w:tc>
          <w:tcPr>
            <w:tcW w:w="709" w:type="dxa"/>
            <w:vMerge/>
          </w:tcPr>
          <w:p w:rsidR="00F70DA5" w:rsidRPr="00A7281F" w:rsidRDefault="00F70DA5" w:rsidP="00AA015E">
            <w:pPr>
              <w:jc w:val="center"/>
              <w:rPr>
                <w:rFonts w:ascii="Times New Roman" w:hAnsi="Times New Roman" w:cs="Times New Roman"/>
                <w:lang w:val="mn-MN"/>
              </w:rPr>
            </w:pPr>
          </w:p>
        </w:tc>
        <w:tc>
          <w:tcPr>
            <w:tcW w:w="1985" w:type="dxa"/>
            <w:vMerge/>
          </w:tcPr>
          <w:p w:rsidR="00F70DA5" w:rsidRPr="00A7281F" w:rsidRDefault="00F70DA5" w:rsidP="00AA015E">
            <w:pPr>
              <w:jc w:val="center"/>
              <w:rPr>
                <w:rFonts w:ascii="Times New Roman" w:hAnsi="Times New Roman" w:cs="Times New Roman"/>
                <w:color w:val="000000"/>
                <w:shd w:val="clear" w:color="auto" w:fill="FFFFFF"/>
              </w:rPr>
            </w:pPr>
          </w:p>
        </w:tc>
        <w:tc>
          <w:tcPr>
            <w:tcW w:w="1418" w:type="dxa"/>
            <w:vMerge/>
          </w:tcPr>
          <w:p w:rsidR="00F70DA5" w:rsidRPr="00A7281F" w:rsidRDefault="00F70DA5" w:rsidP="00AA015E">
            <w:pPr>
              <w:jc w:val="center"/>
              <w:rPr>
                <w:rFonts w:ascii="Times New Roman" w:hAnsi="Times New Roman" w:cs="Times New Roman"/>
                <w:color w:val="000000"/>
                <w:shd w:val="clear" w:color="auto" w:fill="FFFFFF"/>
              </w:rPr>
            </w:pPr>
          </w:p>
        </w:tc>
        <w:tc>
          <w:tcPr>
            <w:tcW w:w="709" w:type="dxa"/>
            <w:vMerge/>
          </w:tcPr>
          <w:p w:rsidR="00F70DA5" w:rsidRPr="00A7281F" w:rsidRDefault="00F70DA5" w:rsidP="00AA015E">
            <w:pPr>
              <w:jc w:val="center"/>
              <w:rPr>
                <w:rFonts w:ascii="Times New Roman" w:hAnsi="Times New Roman" w:cs="Times New Roman"/>
                <w:lang w:val="mn-MN"/>
              </w:rPr>
            </w:pPr>
          </w:p>
        </w:tc>
        <w:tc>
          <w:tcPr>
            <w:tcW w:w="992" w:type="dxa"/>
            <w:vMerge/>
          </w:tcPr>
          <w:p w:rsidR="00F70DA5" w:rsidRPr="00A7281F" w:rsidRDefault="00F70DA5" w:rsidP="00AA015E">
            <w:pPr>
              <w:jc w:val="center"/>
              <w:rPr>
                <w:rFonts w:ascii="Times New Roman" w:hAnsi="Times New Roman" w:cs="Times New Roman"/>
                <w:lang w:val="mn-MN"/>
              </w:rPr>
            </w:pPr>
          </w:p>
        </w:tc>
        <w:tc>
          <w:tcPr>
            <w:tcW w:w="850" w:type="dxa"/>
            <w:vMerge/>
          </w:tcPr>
          <w:p w:rsidR="00F70DA5" w:rsidRPr="00A7281F" w:rsidRDefault="00F70DA5" w:rsidP="00AA015E">
            <w:pPr>
              <w:jc w:val="center"/>
              <w:rPr>
                <w:rFonts w:ascii="Times New Roman" w:hAnsi="Times New Roman" w:cs="Times New Roman"/>
                <w:lang w:val="mn-MN"/>
              </w:rPr>
            </w:pPr>
          </w:p>
        </w:tc>
        <w:tc>
          <w:tcPr>
            <w:tcW w:w="993" w:type="dxa"/>
            <w:vMerge/>
          </w:tcPr>
          <w:p w:rsidR="00F70DA5" w:rsidRPr="00A7281F" w:rsidRDefault="00F70DA5" w:rsidP="00AA015E">
            <w:pPr>
              <w:jc w:val="center"/>
              <w:rPr>
                <w:rFonts w:ascii="Times New Roman" w:hAnsi="Times New Roman" w:cs="Times New Roman"/>
                <w:lang w:val="mn-MN"/>
              </w:rPr>
            </w:pPr>
          </w:p>
        </w:tc>
        <w:tc>
          <w:tcPr>
            <w:tcW w:w="992" w:type="dxa"/>
            <w:vMerge/>
          </w:tcPr>
          <w:p w:rsidR="00F70DA5" w:rsidRPr="00A7281F" w:rsidRDefault="00F70DA5" w:rsidP="00AA015E">
            <w:pPr>
              <w:jc w:val="center"/>
              <w:rPr>
                <w:rFonts w:ascii="Times New Roman" w:hAnsi="Times New Roman" w:cs="Times New Roman"/>
                <w:lang w:val="mn-MN"/>
              </w:rPr>
            </w:pPr>
          </w:p>
        </w:tc>
        <w:tc>
          <w:tcPr>
            <w:tcW w:w="283" w:type="dxa"/>
          </w:tcPr>
          <w:p w:rsidR="00F70DA5" w:rsidRPr="00A7281F" w:rsidRDefault="00F70DA5" w:rsidP="00AA015E">
            <w:pPr>
              <w:jc w:val="center"/>
              <w:rPr>
                <w:rFonts w:ascii="Times New Roman" w:hAnsi="Times New Roman" w:cs="Times New Roman"/>
                <w:lang w:val="mn-MN"/>
              </w:rPr>
            </w:pPr>
          </w:p>
        </w:tc>
        <w:tc>
          <w:tcPr>
            <w:tcW w:w="567" w:type="dxa"/>
          </w:tcPr>
          <w:p w:rsidR="00F70DA5" w:rsidRPr="00A7281F" w:rsidRDefault="00F70DA5" w:rsidP="00AA015E">
            <w:pPr>
              <w:jc w:val="center"/>
              <w:rPr>
                <w:rFonts w:ascii="Times New Roman" w:hAnsi="Times New Roman" w:cs="Times New Roman"/>
                <w:lang w:val="mn-MN"/>
              </w:rPr>
            </w:pPr>
          </w:p>
        </w:tc>
        <w:tc>
          <w:tcPr>
            <w:tcW w:w="567" w:type="dxa"/>
          </w:tcPr>
          <w:p w:rsidR="00F70DA5" w:rsidRPr="00A7281F" w:rsidRDefault="00F70DA5" w:rsidP="00AA015E">
            <w:pPr>
              <w:jc w:val="center"/>
              <w:rPr>
                <w:rFonts w:ascii="Times New Roman" w:hAnsi="Times New Roman" w:cs="Times New Roman"/>
                <w:lang w:val="mn-MN"/>
              </w:rPr>
            </w:pPr>
          </w:p>
        </w:tc>
        <w:tc>
          <w:tcPr>
            <w:tcW w:w="3828" w:type="dxa"/>
            <w:vMerge/>
          </w:tcPr>
          <w:p w:rsidR="00F70DA5" w:rsidRPr="00A7281F" w:rsidRDefault="00F70DA5" w:rsidP="00AA015E">
            <w:pPr>
              <w:jc w:val="center"/>
              <w:rPr>
                <w:rFonts w:ascii="Times New Roman" w:hAnsi="Times New Roman" w:cs="Times New Roman"/>
              </w:rPr>
            </w:pPr>
          </w:p>
        </w:tc>
        <w:tc>
          <w:tcPr>
            <w:tcW w:w="708" w:type="dxa"/>
            <w:vMerge/>
          </w:tcPr>
          <w:p w:rsidR="00F70DA5" w:rsidRPr="00A7281F" w:rsidRDefault="00F70DA5" w:rsidP="00AA015E">
            <w:pPr>
              <w:jc w:val="center"/>
              <w:rPr>
                <w:rFonts w:ascii="Times New Roman" w:hAnsi="Times New Roman" w:cs="Times New Roman"/>
              </w:rPr>
            </w:pPr>
          </w:p>
        </w:tc>
      </w:tr>
      <w:tr w:rsidR="009A1DEB" w:rsidRPr="00A7281F" w:rsidTr="0000007B">
        <w:tc>
          <w:tcPr>
            <w:tcW w:w="709"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1</w:t>
            </w:r>
          </w:p>
        </w:tc>
        <w:tc>
          <w:tcPr>
            <w:tcW w:w="1985"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2</w:t>
            </w:r>
          </w:p>
        </w:tc>
        <w:tc>
          <w:tcPr>
            <w:tcW w:w="1418"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3</w:t>
            </w:r>
          </w:p>
        </w:tc>
        <w:tc>
          <w:tcPr>
            <w:tcW w:w="709"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4</w:t>
            </w:r>
          </w:p>
        </w:tc>
        <w:tc>
          <w:tcPr>
            <w:tcW w:w="992"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5</w:t>
            </w:r>
          </w:p>
        </w:tc>
        <w:tc>
          <w:tcPr>
            <w:tcW w:w="850"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6</w:t>
            </w:r>
          </w:p>
        </w:tc>
        <w:tc>
          <w:tcPr>
            <w:tcW w:w="993"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7</w:t>
            </w:r>
          </w:p>
        </w:tc>
        <w:tc>
          <w:tcPr>
            <w:tcW w:w="992"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8</w:t>
            </w:r>
          </w:p>
        </w:tc>
        <w:tc>
          <w:tcPr>
            <w:tcW w:w="283"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9</w:t>
            </w:r>
          </w:p>
        </w:tc>
        <w:tc>
          <w:tcPr>
            <w:tcW w:w="567"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10</w:t>
            </w:r>
          </w:p>
        </w:tc>
        <w:tc>
          <w:tcPr>
            <w:tcW w:w="567"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11</w:t>
            </w:r>
          </w:p>
        </w:tc>
        <w:tc>
          <w:tcPr>
            <w:tcW w:w="3828"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12</w:t>
            </w:r>
          </w:p>
        </w:tc>
        <w:tc>
          <w:tcPr>
            <w:tcW w:w="708" w:type="dxa"/>
          </w:tcPr>
          <w:p w:rsidR="00AA015E" w:rsidRPr="00A7281F" w:rsidRDefault="00AA015E" w:rsidP="00AA015E">
            <w:pPr>
              <w:jc w:val="center"/>
              <w:rPr>
                <w:rFonts w:ascii="Times New Roman" w:hAnsi="Times New Roman" w:cs="Times New Roman"/>
                <w:lang w:val="mn-MN"/>
              </w:rPr>
            </w:pPr>
            <w:r w:rsidRPr="00A7281F">
              <w:rPr>
                <w:rFonts w:ascii="Times New Roman" w:hAnsi="Times New Roman" w:cs="Times New Roman"/>
                <w:lang w:val="mn-MN"/>
              </w:rPr>
              <w:t>13</w:t>
            </w:r>
          </w:p>
        </w:tc>
      </w:tr>
      <w:bookmarkEnd w:id="1"/>
      <w:tr w:rsidR="00A802A8" w:rsidRPr="00A7281F" w:rsidTr="00DF2AC2">
        <w:tc>
          <w:tcPr>
            <w:tcW w:w="14601" w:type="dxa"/>
            <w:gridSpan w:val="13"/>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АЛСЫН ХАРАА</w:t>
            </w:r>
            <w:r w:rsidR="007B0A3D" w:rsidRPr="00A7281F">
              <w:rPr>
                <w:rFonts w:ascii="Times New Roman" w:hAnsi="Times New Roman" w:cs="Times New Roman"/>
              </w:rPr>
              <w:t xml:space="preserve"> </w:t>
            </w:r>
            <w:r w:rsidRPr="00A7281F">
              <w:rPr>
                <w:rFonts w:ascii="Times New Roman" w:hAnsi="Times New Roman" w:cs="Times New Roman"/>
                <w:lang w:val="mn-MN"/>
              </w:rPr>
              <w:t>2050 МОНГОЛ УЛСЫН УРТ ХУГАЦААНЫ ХӨГЖЛИЙН БОДЛОГО: ЭДИЙН ЗАСАГ БҮЛГИЙН ХҮРЭЭНД:</w:t>
            </w:r>
          </w:p>
        </w:tc>
      </w:tr>
      <w:tr w:rsidR="00A802A8" w:rsidRPr="00A7281F" w:rsidTr="00DF2AC2">
        <w:tc>
          <w:tcPr>
            <w:tcW w:w="14601" w:type="dxa"/>
            <w:gridSpan w:val="13"/>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ТЭРГҮҮЛЭХ ЧИГЛЭЛ 2. ХӨРӨНГӨ ОРУУЛАЛТЫГ НЭМЭГДҮҮЛНЭ.</w:t>
            </w:r>
          </w:p>
        </w:tc>
      </w:tr>
      <w:tr w:rsidR="00A802A8" w:rsidRPr="00A7281F" w:rsidTr="00DF2AC2">
        <w:tc>
          <w:tcPr>
            <w:tcW w:w="14601" w:type="dxa"/>
            <w:gridSpan w:val="13"/>
          </w:tcPr>
          <w:p w:rsidR="00A802A8" w:rsidRPr="00A7281F" w:rsidRDefault="00A802A8" w:rsidP="00A802A8">
            <w:pPr>
              <w:rPr>
                <w:rFonts w:ascii="Times New Roman" w:hAnsi="Times New Roman" w:cs="Times New Roman"/>
                <w:b/>
                <w:bCs/>
              </w:rPr>
            </w:pPr>
            <w:r w:rsidRPr="00A7281F">
              <w:rPr>
                <w:rFonts w:ascii="Times New Roman" w:hAnsi="Times New Roman" w:cs="Times New Roman"/>
                <w:b/>
                <w:bCs/>
                <w:color w:val="000000"/>
                <w:shd w:val="clear" w:color="auto" w:fill="FFFFFF"/>
              </w:rPr>
              <w:t>2.1.Хөрөнгө оруулалт хийх,  бизнесийн үйл ажиллагаа эрхлэх таатай орчныг бүрдүүлнэ.</w:t>
            </w:r>
          </w:p>
        </w:tc>
      </w:tr>
      <w:tr w:rsidR="009A1DEB" w:rsidRPr="00A7281F" w:rsidTr="0000007B">
        <w:tc>
          <w:tcPr>
            <w:tcW w:w="709" w:type="dxa"/>
          </w:tcPr>
          <w:p w:rsidR="00A802A8" w:rsidRPr="00A7281F" w:rsidRDefault="00A802A8" w:rsidP="00C83527">
            <w:pPr>
              <w:jc w:val="center"/>
              <w:rPr>
                <w:rFonts w:ascii="Times New Roman" w:hAnsi="Times New Roman" w:cs="Times New Roman"/>
                <w:lang w:val="mn-MN"/>
              </w:rPr>
            </w:pPr>
            <w:r w:rsidRPr="00A7281F">
              <w:rPr>
                <w:rFonts w:ascii="Times New Roman" w:hAnsi="Times New Roman" w:cs="Times New Roman"/>
                <w:lang w:val="mn-MN"/>
              </w:rPr>
              <w:t>2.1.2</w:t>
            </w:r>
          </w:p>
        </w:tc>
        <w:tc>
          <w:tcPr>
            <w:tcW w:w="1985" w:type="dxa"/>
          </w:tcPr>
          <w:p w:rsidR="00A802A8" w:rsidRPr="00A7281F" w:rsidRDefault="00A802A8" w:rsidP="00A802A8">
            <w:pPr>
              <w:jc w:val="center"/>
              <w:rPr>
                <w:rFonts w:ascii="Times New Roman" w:hAnsi="Times New Roman" w:cs="Times New Roman"/>
              </w:rPr>
            </w:pPr>
            <w:r w:rsidRPr="00A7281F">
              <w:rPr>
                <w:rFonts w:ascii="Times New Roman" w:hAnsi="Times New Roman" w:cs="Times New Roman"/>
                <w:color w:val="000000"/>
                <w:shd w:val="clear" w:color="auto" w:fill="FFFFFF"/>
              </w:rPr>
              <w:t>АХ-5.2.20,</w:t>
            </w:r>
            <w:r w:rsidRPr="00A7281F">
              <w:rPr>
                <w:rFonts w:ascii="Times New Roman" w:hAnsi="Times New Roman" w:cs="Times New Roman"/>
                <w:color w:val="333333"/>
              </w:rPr>
              <w:br/>
            </w:r>
            <w:r w:rsidRPr="00A7281F">
              <w:rPr>
                <w:rFonts w:ascii="Times New Roman" w:hAnsi="Times New Roman" w:cs="Times New Roman"/>
                <w:color w:val="000000"/>
                <w:shd w:val="clear" w:color="auto" w:fill="FFFFFF"/>
              </w:rPr>
              <w:t>МУХТЖҮЧ-4.6.1</w:t>
            </w:r>
          </w:p>
        </w:tc>
        <w:tc>
          <w:tcPr>
            <w:tcW w:w="1418" w:type="dxa"/>
          </w:tcPr>
          <w:p w:rsidR="00EF400F" w:rsidRPr="00A7281F" w:rsidRDefault="00A802A8" w:rsidP="00A802A8">
            <w:pPr>
              <w:rPr>
                <w:rFonts w:ascii="Times New Roman" w:hAnsi="Times New Roman" w:cs="Times New Roman"/>
                <w:color w:val="000000"/>
              </w:rPr>
            </w:pPr>
            <w:r w:rsidRPr="00A7281F">
              <w:rPr>
                <w:rFonts w:ascii="Times New Roman" w:hAnsi="Times New Roman" w:cs="Times New Roman"/>
                <w:color w:val="000000"/>
              </w:rPr>
              <w:t>2.1.2.2.</w:t>
            </w:r>
          </w:p>
          <w:p w:rsidR="00DD7E5E" w:rsidRPr="00A7281F" w:rsidRDefault="00A802A8" w:rsidP="00A802A8">
            <w:pPr>
              <w:rPr>
                <w:rFonts w:ascii="Times New Roman" w:hAnsi="Times New Roman" w:cs="Times New Roman"/>
                <w:color w:val="000000"/>
              </w:rPr>
            </w:pPr>
            <w:r w:rsidRPr="00A7281F">
              <w:rPr>
                <w:rFonts w:ascii="Times New Roman" w:hAnsi="Times New Roman" w:cs="Times New Roman"/>
                <w:color w:val="000000"/>
              </w:rPr>
              <w:t>Хөрөнгийн зах зээлийн зохицуулалтыг оновчтой зөв болгож, биржийн үйл ажиллагааг өргөжүүлж, </w:t>
            </w:r>
          </w:p>
          <w:p w:rsidR="00A802A8" w:rsidRPr="00A7281F" w:rsidRDefault="00A802A8" w:rsidP="00A802A8">
            <w:pPr>
              <w:rPr>
                <w:rFonts w:ascii="Times New Roman" w:hAnsi="Times New Roman" w:cs="Times New Roman"/>
              </w:rPr>
            </w:pPr>
            <w:r w:rsidRPr="00A7281F">
              <w:rPr>
                <w:rFonts w:ascii="Times New Roman" w:hAnsi="Times New Roman" w:cs="Times New Roman"/>
                <w:color w:val="000000"/>
              </w:rPr>
              <w:t>тогтворжуулах, зах зээлд оролцогчдын эрх ашгийг бүрэн хангах</w:t>
            </w:r>
          </w:p>
        </w:tc>
        <w:tc>
          <w:tcPr>
            <w:tcW w:w="709" w:type="dxa"/>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1 жил</w:t>
            </w:r>
          </w:p>
        </w:tc>
        <w:tc>
          <w:tcPr>
            <w:tcW w:w="992" w:type="dxa"/>
          </w:tcPr>
          <w:p w:rsidR="00A802A8" w:rsidRPr="005E77F8" w:rsidRDefault="009A1DEB" w:rsidP="00A802A8">
            <w:pPr>
              <w:jc w:val="center"/>
              <w:rPr>
                <w:rFonts w:ascii="Times New Roman" w:hAnsi="Times New Roman" w:cs="Times New Roman"/>
              </w:rPr>
            </w:pPr>
            <w:r w:rsidRPr="00A7281F">
              <w:rPr>
                <w:rFonts w:ascii="Times New Roman" w:hAnsi="Times New Roman" w:cs="Times New Roman"/>
                <w:lang w:val="mn-MN"/>
              </w:rPr>
              <w:t>СЗХ</w:t>
            </w:r>
          </w:p>
        </w:tc>
        <w:tc>
          <w:tcPr>
            <w:tcW w:w="850" w:type="dxa"/>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Бусад эх үүсвэр</w:t>
            </w:r>
          </w:p>
        </w:tc>
        <w:tc>
          <w:tcPr>
            <w:tcW w:w="993" w:type="dxa"/>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w:t>
            </w:r>
          </w:p>
        </w:tc>
        <w:tc>
          <w:tcPr>
            <w:tcW w:w="992" w:type="dxa"/>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8</w:t>
            </w:r>
          </w:p>
        </w:tc>
        <w:tc>
          <w:tcPr>
            <w:tcW w:w="1417" w:type="dxa"/>
            <w:gridSpan w:val="3"/>
          </w:tcPr>
          <w:p w:rsidR="00A802A8" w:rsidRPr="00A7281F" w:rsidRDefault="00A802A8" w:rsidP="00A802A8">
            <w:pPr>
              <w:jc w:val="center"/>
              <w:rPr>
                <w:rFonts w:ascii="Times New Roman" w:hAnsi="Times New Roman" w:cs="Times New Roman"/>
                <w:lang w:val="mn-MN"/>
              </w:rPr>
            </w:pPr>
            <w:r w:rsidRPr="00A7281F">
              <w:rPr>
                <w:rFonts w:ascii="Times New Roman" w:hAnsi="Times New Roman" w:cs="Times New Roman"/>
                <w:lang w:val="mn-MN"/>
              </w:rPr>
              <w:t>15</w:t>
            </w:r>
          </w:p>
        </w:tc>
        <w:tc>
          <w:tcPr>
            <w:tcW w:w="3828" w:type="dxa"/>
          </w:tcPr>
          <w:p w:rsidR="009D6B67" w:rsidRDefault="0071308B" w:rsidP="001217C8">
            <w:pPr>
              <w:jc w:val="both"/>
              <w:rPr>
                <w:rFonts w:ascii="Times New Roman" w:eastAsia="Times New Roman" w:hAnsi="Times New Roman" w:cs="Times New Roman"/>
                <w:color w:val="000000" w:themeColor="text1"/>
                <w:lang w:val="mn-MN"/>
              </w:rPr>
            </w:pPr>
            <w:r w:rsidRPr="00A7281F">
              <w:rPr>
                <w:rFonts w:ascii="Times New Roman" w:eastAsiaTheme="minorEastAsia" w:hAnsi="Times New Roman" w:cs="Times New Roman"/>
                <w:b/>
                <w:bCs/>
                <w:color w:val="000000" w:themeColor="text1"/>
                <w:lang w:val="mn-MN"/>
              </w:rPr>
              <w:t>1.</w:t>
            </w:r>
            <w:r w:rsidR="001217C8" w:rsidRPr="001D4DCD">
              <w:rPr>
                <w:rFonts w:ascii="Times New Roman" w:eastAsia="Times New Roman" w:hAnsi="Times New Roman" w:cs="Times New Roman"/>
                <w:color w:val="000000" w:themeColor="text1"/>
                <w:lang w:val="mn-MN"/>
              </w:rPr>
              <w:t xml:space="preserve"> УИХ-аас Үнэт цаасны зах зээлийн тухай хуульд нэмэлт, өөрчлөлт оруулах тухай хууль болон хамт өргөн мэдүүлсэн хуулийн төслүүдийг 2024 оны 05 дугаар сарын 16-ны өдөр эцэслэн баталсан</w:t>
            </w:r>
            <w:r w:rsidR="00192349">
              <w:rPr>
                <w:rFonts w:ascii="Times New Roman" w:eastAsia="Times New Roman" w:hAnsi="Times New Roman" w:cs="Times New Roman"/>
                <w:color w:val="000000" w:themeColor="text1"/>
                <w:lang w:val="mn-MN"/>
              </w:rPr>
              <w:t>.</w:t>
            </w:r>
            <w:r w:rsidR="001217C8">
              <w:rPr>
                <w:rFonts w:ascii="Times New Roman" w:eastAsia="Times New Roman" w:hAnsi="Times New Roman" w:cs="Times New Roman"/>
                <w:color w:val="000000" w:themeColor="text1"/>
                <w:lang w:val="mn-MN"/>
              </w:rPr>
              <w:t xml:space="preserve"> </w:t>
            </w:r>
            <w:r w:rsidR="00192349">
              <w:rPr>
                <w:rFonts w:ascii="Times New Roman" w:eastAsia="Times New Roman" w:hAnsi="Times New Roman" w:cs="Times New Roman"/>
                <w:color w:val="000000" w:themeColor="text1"/>
                <w:lang w:val="mn-MN"/>
              </w:rPr>
              <w:t>Хууль батлагдсанаар</w:t>
            </w:r>
            <w:r w:rsidR="001217C8" w:rsidRPr="2D5366EA">
              <w:rPr>
                <w:rFonts w:ascii="Times New Roman" w:eastAsia="Times New Roman" w:hAnsi="Times New Roman" w:cs="Times New Roman"/>
                <w:color w:val="000000" w:themeColor="text1"/>
                <w:lang w:val="mn-MN"/>
              </w:rPr>
              <w:t xml:space="preserve"> дотоодын аж ахуй нэгжээс нийтэд санал болгон үнэт цаас гаргах ажиллагаа хялбар, шуурхай болж, зохицуулагч болон арилжаа эрхлэх байгууллагын бүртгэлийн хоорондын уялдаа холбоо сайжран олон улсын жишигт нийцэх, санхүүгийн технологид суурилсан шинэ бүтээгдэхүүн, үйлчилгээ нэмэгдэх, үнэт цаас гаргагч, андеррайтерийн компаниудын үүрэг оролцоо өсөх, үнэт цаасны арилжаа, төлбөр тооцоо, төвлөрсөн болон </w:t>
            </w:r>
            <w:r w:rsidR="001217C8" w:rsidRPr="2D5366EA">
              <w:rPr>
                <w:rFonts w:ascii="Times New Roman" w:eastAsia="Times New Roman" w:hAnsi="Times New Roman" w:cs="Times New Roman"/>
                <w:color w:val="000000" w:themeColor="text1"/>
                <w:lang w:val="mn-MN"/>
              </w:rPr>
              <w:lastRenderedPageBreak/>
              <w:t>тухайлсан бүртгэлтэй холбоотой зохицуулалт боловсронгуй болох, хамтын ХОС-уудын оролцоо сайжирч, мэргэжлийн хөрөнгө оруулагчдын бааз суурь нэмэгдэх, нэг хүрэхгүй хувийг эзэмшиж буй жижиг хувьцаа эзэмшигчдийн эрх ашгийг хамгаалах хүрээнд жижиг хувьцаа эзэмшигчид нийлээд хувьцаа эзэмшил нь нэг хувьд хүрч байвал шүүхэд нэхэмжлэл гаргах боломжтой бол</w:t>
            </w:r>
            <w:r w:rsidR="001217C8">
              <w:rPr>
                <w:rFonts w:ascii="Times New Roman" w:eastAsia="Times New Roman" w:hAnsi="Times New Roman" w:cs="Times New Roman"/>
                <w:color w:val="000000" w:themeColor="text1"/>
                <w:lang w:val="mn-MN"/>
              </w:rPr>
              <w:t>сон юм</w:t>
            </w:r>
            <w:r w:rsidR="001217C8" w:rsidRPr="09D2786A">
              <w:rPr>
                <w:rFonts w:ascii="Times New Roman" w:eastAsia="Times New Roman" w:hAnsi="Times New Roman" w:cs="Times New Roman"/>
                <w:color w:val="000000" w:themeColor="text1"/>
                <w:lang w:val="mn-MN"/>
              </w:rPr>
              <w:t>.</w:t>
            </w:r>
            <w:r w:rsidR="001217C8" w:rsidRPr="006A447A">
              <w:rPr>
                <w:rFonts w:ascii="Times New Roman" w:eastAsia="Times New Roman" w:hAnsi="Times New Roman" w:cs="Times New Roman"/>
                <w:color w:val="000000" w:themeColor="text1"/>
                <w:lang w:val="mn-MN"/>
              </w:rPr>
              <w:t xml:space="preserve"> </w:t>
            </w:r>
            <w:r w:rsidR="001217C8">
              <w:rPr>
                <w:rFonts w:ascii="Times New Roman" w:eastAsia="Times New Roman" w:hAnsi="Times New Roman"/>
                <w:color w:val="000000" w:themeColor="text1"/>
                <w:szCs w:val="28"/>
                <w:lang w:val="mn-MN" w:bidi="mn-Mong-CN"/>
              </w:rPr>
              <w:t xml:space="preserve">Мөн </w:t>
            </w:r>
            <w:r w:rsidR="001217C8" w:rsidRPr="006A447A">
              <w:rPr>
                <w:rFonts w:ascii="Times New Roman" w:eastAsia="Times New Roman" w:hAnsi="Times New Roman" w:cs="Times New Roman"/>
                <w:color w:val="000000" w:themeColor="text1"/>
                <w:lang w:val="mn-MN"/>
              </w:rPr>
              <w:t>үнэт цаасны зах зээлд гаргах хадгаламжийн сертификат, хувьцааны хамтын санхүүжилт, хамтын биржээр арилжаалагддаг хөрөнгө оруулалтын сан /ETF/, үүсмэл санхүүгийн хэрэгсэл, олон улсын санхүүгийн байгууллага дээрх өрийн хэрэгсэл зэрэг шинэ бүтээгдэхүүнүүд нэвтрэх суурь нөхцөл бүрд</w:t>
            </w:r>
            <w:r w:rsidR="001217C8">
              <w:rPr>
                <w:rFonts w:ascii="Times New Roman" w:eastAsia="Times New Roman" w:hAnsi="Times New Roman" w:cs="Times New Roman"/>
                <w:color w:val="000000" w:themeColor="text1"/>
                <w:lang w:val="mn-MN"/>
              </w:rPr>
              <w:t>сэн</w:t>
            </w:r>
            <w:r w:rsidR="001217C8" w:rsidRPr="006A447A">
              <w:rPr>
                <w:rFonts w:ascii="Times New Roman" w:eastAsia="Times New Roman" w:hAnsi="Times New Roman" w:cs="Times New Roman"/>
                <w:color w:val="000000" w:themeColor="text1"/>
                <w:lang w:val="mn-MN"/>
              </w:rPr>
              <w:t>.</w:t>
            </w:r>
          </w:p>
          <w:p w:rsidR="001217C8" w:rsidRPr="003E5AB9" w:rsidRDefault="00A90F19" w:rsidP="001217C8">
            <w:pPr>
              <w:spacing w:line="259" w:lineRule="auto"/>
              <w:jc w:val="both"/>
              <w:rPr>
                <w:rFonts w:ascii="Times New Roman" w:eastAsia="Times New Roman" w:hAnsi="Times New Roman" w:cs="Times New Roman"/>
                <w:color w:val="000000" w:themeColor="text1"/>
              </w:rPr>
            </w:pPr>
            <w:r w:rsidRPr="00424967">
              <w:rPr>
                <w:rFonts w:ascii="Times New Roman" w:eastAsia="Times New Roman" w:hAnsi="Times New Roman" w:cs="Times New Roman"/>
                <w:b/>
                <w:bCs/>
                <w:color w:val="000000" w:themeColor="text1"/>
                <w:lang w:val="mn-MN"/>
              </w:rPr>
              <w:t>2.</w:t>
            </w:r>
            <w:r w:rsidR="00424967">
              <w:rPr>
                <w:rFonts w:ascii="Times New Roman" w:eastAsia="Times New Roman" w:hAnsi="Times New Roman" w:cs="Times New Roman"/>
                <w:color w:val="000000" w:themeColor="text1"/>
                <w:lang w:val="mn-MN"/>
              </w:rPr>
              <w:t xml:space="preserve"> </w:t>
            </w:r>
            <w:proofErr w:type="spellStart"/>
            <w:r w:rsidR="001217C8" w:rsidRPr="003E5AB9">
              <w:rPr>
                <w:rFonts w:ascii="Times New Roman" w:eastAsia="Times New Roman" w:hAnsi="Times New Roman" w:cs="Times New Roman"/>
                <w:color w:val="000000" w:themeColor="text1"/>
              </w:rPr>
              <w:t>Санхүүгийн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зохицуулах</w:t>
            </w:r>
            <w:proofErr w:type="spellEnd"/>
            <w:r w:rsidR="001217C8" w:rsidRPr="003E5AB9">
              <w:rPr>
                <w:rFonts w:ascii="Times New Roman" w:eastAsia="Times New Roman" w:hAnsi="Times New Roman" w:cs="Times New Roman"/>
                <w:color w:val="000000" w:themeColor="text1"/>
              </w:rPr>
              <w:t xml:space="preserve"> хороо МҮХАҮТ-</w:t>
            </w:r>
            <w:proofErr w:type="spellStart"/>
            <w:r w:rsidR="001217C8" w:rsidRPr="003E5AB9">
              <w:rPr>
                <w:rFonts w:ascii="Times New Roman" w:eastAsia="Times New Roman" w:hAnsi="Times New Roman" w:cs="Times New Roman"/>
                <w:color w:val="000000" w:themeColor="text1"/>
              </w:rPr>
              <w:t>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хамтран</w:t>
            </w:r>
            <w:proofErr w:type="spellEnd"/>
            <w:r w:rsidR="001217C8" w:rsidRPr="003E5AB9">
              <w:rPr>
                <w:rFonts w:ascii="Times New Roman" w:eastAsia="Times New Roman" w:hAnsi="Times New Roman" w:cs="Times New Roman"/>
                <w:color w:val="000000" w:themeColor="text1"/>
              </w:rPr>
              <w:t xml:space="preserve"> “ТОП-100 </w:t>
            </w:r>
            <w:proofErr w:type="spellStart"/>
            <w:r w:rsidR="001217C8" w:rsidRPr="003E5AB9">
              <w:rPr>
                <w:rFonts w:ascii="Times New Roman" w:eastAsia="Times New Roman" w:hAnsi="Times New Roman" w:cs="Times New Roman"/>
                <w:color w:val="000000" w:themeColor="text1"/>
              </w:rPr>
              <w:t>аж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ахуйн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нэгжийн</w:t>
            </w:r>
            <w:proofErr w:type="spellEnd"/>
            <w:r w:rsidR="001217C8" w:rsidRPr="003E5AB9">
              <w:rPr>
                <w:rFonts w:ascii="Times New Roman" w:eastAsia="Times New Roman" w:hAnsi="Times New Roman" w:cs="Times New Roman"/>
                <w:color w:val="000000" w:themeColor="text1"/>
              </w:rPr>
              <w:t xml:space="preserve"> хөрөнгийн зах зээл </w:t>
            </w:r>
            <w:proofErr w:type="spellStart"/>
            <w:r w:rsidR="001217C8" w:rsidRPr="003E5AB9">
              <w:rPr>
                <w:rFonts w:ascii="Times New Roman" w:eastAsia="Times New Roman" w:hAnsi="Times New Roman" w:cs="Times New Roman"/>
                <w:color w:val="000000" w:themeColor="text1"/>
              </w:rPr>
              <w:t>дэх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оролцоог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өсгөх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арга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хэмжээний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хөтөлбөр</w:t>
            </w:r>
            <w:proofErr w:type="spellEnd"/>
            <w:r w:rsidR="001217C8" w:rsidRPr="003E5AB9">
              <w:rPr>
                <w:rFonts w:ascii="Times New Roman" w:eastAsia="Times New Roman" w:hAnsi="Times New Roman" w:cs="Times New Roman"/>
                <w:color w:val="000000" w:themeColor="text1"/>
              </w:rPr>
              <w:t>”-</w:t>
            </w:r>
            <w:proofErr w:type="spellStart"/>
            <w:r w:rsidR="001217C8" w:rsidRPr="003E5AB9">
              <w:rPr>
                <w:rFonts w:ascii="Times New Roman" w:eastAsia="Times New Roman" w:hAnsi="Times New Roman" w:cs="Times New Roman"/>
                <w:color w:val="000000" w:themeColor="text1"/>
              </w:rPr>
              <w:t>ийг</w:t>
            </w:r>
            <w:proofErr w:type="spellEnd"/>
            <w:r w:rsidR="001217C8" w:rsidRPr="003E5AB9">
              <w:rPr>
                <w:rFonts w:ascii="Times New Roman" w:eastAsia="Times New Roman" w:hAnsi="Times New Roman" w:cs="Times New Roman"/>
                <w:color w:val="000000" w:themeColor="text1"/>
              </w:rPr>
              <w:t xml:space="preserve"> 2023 </w:t>
            </w:r>
            <w:proofErr w:type="spellStart"/>
            <w:r w:rsidR="001217C8" w:rsidRPr="003E5AB9">
              <w:rPr>
                <w:rFonts w:ascii="Times New Roman" w:eastAsia="Times New Roman" w:hAnsi="Times New Roman" w:cs="Times New Roman"/>
                <w:color w:val="000000" w:themeColor="text1"/>
              </w:rPr>
              <w:t>оны</w:t>
            </w:r>
            <w:proofErr w:type="spellEnd"/>
            <w:r w:rsidR="001217C8" w:rsidRPr="003E5AB9">
              <w:rPr>
                <w:rFonts w:ascii="Times New Roman" w:eastAsia="Times New Roman" w:hAnsi="Times New Roman" w:cs="Times New Roman"/>
                <w:color w:val="000000" w:themeColor="text1"/>
              </w:rPr>
              <w:t xml:space="preserve"> 5 </w:t>
            </w:r>
            <w:proofErr w:type="spellStart"/>
            <w:r w:rsidR="001217C8" w:rsidRPr="003E5AB9">
              <w:rPr>
                <w:rFonts w:ascii="Times New Roman" w:eastAsia="Times New Roman" w:hAnsi="Times New Roman" w:cs="Times New Roman"/>
                <w:color w:val="000000" w:themeColor="text1"/>
              </w:rPr>
              <w:t>дугаар</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сарын</w:t>
            </w:r>
            <w:proofErr w:type="spellEnd"/>
            <w:r w:rsidR="001217C8" w:rsidRPr="003E5AB9">
              <w:rPr>
                <w:rFonts w:ascii="Times New Roman" w:eastAsia="Times New Roman" w:hAnsi="Times New Roman" w:cs="Times New Roman"/>
                <w:color w:val="000000" w:themeColor="text1"/>
              </w:rPr>
              <w:t xml:space="preserve"> 18-ны </w:t>
            </w:r>
            <w:proofErr w:type="spellStart"/>
            <w:r w:rsidR="001217C8" w:rsidRPr="003E5AB9">
              <w:rPr>
                <w:rFonts w:ascii="Times New Roman" w:eastAsia="Times New Roman" w:hAnsi="Times New Roman" w:cs="Times New Roman"/>
                <w:color w:val="000000" w:themeColor="text1"/>
              </w:rPr>
              <w:t>өдөр</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баталсан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Дээрх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хөтөлбөрийн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хүрээнд</w:t>
            </w:r>
            <w:proofErr w:type="spellEnd"/>
            <w:r w:rsidR="001217C8" w:rsidRPr="003E5AB9">
              <w:rPr>
                <w:rFonts w:ascii="Times New Roman" w:eastAsia="Times New Roman" w:hAnsi="Times New Roman" w:cs="Times New Roman"/>
                <w:color w:val="000000" w:themeColor="text1"/>
              </w:rPr>
              <w:t xml:space="preserve"> ТОП-100 ААН-</w:t>
            </w:r>
            <w:proofErr w:type="spellStart"/>
            <w:r w:rsidR="001217C8" w:rsidRPr="003E5AB9">
              <w:rPr>
                <w:rFonts w:ascii="Times New Roman" w:eastAsia="Times New Roman" w:hAnsi="Times New Roman" w:cs="Times New Roman"/>
                <w:color w:val="000000" w:themeColor="text1"/>
              </w:rPr>
              <w:t>үүдийг</w:t>
            </w:r>
            <w:proofErr w:type="spellEnd"/>
            <w:r w:rsidR="001217C8" w:rsidRPr="003E5AB9">
              <w:rPr>
                <w:rFonts w:ascii="Times New Roman" w:eastAsia="Times New Roman" w:hAnsi="Times New Roman" w:cs="Times New Roman"/>
                <w:color w:val="000000" w:themeColor="text1"/>
              </w:rPr>
              <w:t xml:space="preserve"> хөрөнгийн зах </w:t>
            </w:r>
            <w:proofErr w:type="spellStart"/>
            <w:r w:rsidR="001217C8" w:rsidRPr="003E5AB9">
              <w:rPr>
                <w:rFonts w:ascii="Times New Roman" w:eastAsia="Times New Roman" w:hAnsi="Times New Roman" w:cs="Times New Roman"/>
                <w:color w:val="000000" w:themeColor="text1"/>
              </w:rPr>
              <w:t>зээлд</w:t>
            </w:r>
            <w:proofErr w:type="spellEnd"/>
            <w:r w:rsidR="001217C8" w:rsidRPr="003E5AB9">
              <w:rPr>
                <w:rFonts w:ascii="Times New Roman" w:eastAsia="Times New Roman" w:hAnsi="Times New Roman" w:cs="Times New Roman"/>
                <w:color w:val="000000" w:themeColor="text1"/>
              </w:rPr>
              <w:t xml:space="preserve"> IPO </w:t>
            </w:r>
            <w:proofErr w:type="spellStart"/>
            <w:r w:rsidR="001217C8" w:rsidRPr="003E5AB9">
              <w:rPr>
                <w:rFonts w:ascii="Times New Roman" w:eastAsia="Times New Roman" w:hAnsi="Times New Roman" w:cs="Times New Roman"/>
                <w:color w:val="000000" w:themeColor="text1"/>
              </w:rPr>
              <w:t>хийх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компанийн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бонд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гаргахтай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холбоотой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харилцааг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хялбаршуулан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хөнгөвчилж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үнэт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цаас</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гаргагчид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тавих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нөхцөл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шаардлагыг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багасгах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арга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хэмжээг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авах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чиг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үүрэг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бүхий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ажлын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хэсгийг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байгуулан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холбогдох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ажлуудыг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ажиллаж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байна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lastRenderedPageBreak/>
              <w:t>Тухайлбал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Хорооны</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зүгээс</w:t>
            </w:r>
            <w:proofErr w:type="spellEnd"/>
            <w:r w:rsidR="001217C8" w:rsidRPr="003E5AB9">
              <w:rPr>
                <w:rFonts w:ascii="Times New Roman" w:eastAsia="Times New Roman" w:hAnsi="Times New Roman" w:cs="Times New Roman"/>
                <w:color w:val="000000" w:themeColor="text1"/>
              </w:rPr>
              <w:t xml:space="preserve"> “Үнэт цаасны </w:t>
            </w:r>
            <w:proofErr w:type="spellStart"/>
            <w:r w:rsidR="001217C8" w:rsidRPr="003E5AB9">
              <w:rPr>
                <w:rFonts w:ascii="Times New Roman" w:eastAsia="Times New Roman" w:hAnsi="Times New Roman" w:cs="Times New Roman"/>
                <w:color w:val="000000" w:themeColor="text1"/>
              </w:rPr>
              <w:t>бүртгэлийн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журам</w:t>
            </w:r>
            <w:proofErr w:type="spellEnd"/>
            <w:r w:rsidR="001217C8" w:rsidRPr="003E5AB9">
              <w:rPr>
                <w:rFonts w:ascii="Times New Roman" w:eastAsia="Times New Roman" w:hAnsi="Times New Roman" w:cs="Times New Roman"/>
                <w:color w:val="000000" w:themeColor="text1"/>
              </w:rPr>
              <w:t>”, “</w:t>
            </w:r>
            <w:proofErr w:type="spellStart"/>
            <w:r w:rsidR="001217C8" w:rsidRPr="003E5AB9">
              <w:rPr>
                <w:rFonts w:ascii="Times New Roman" w:eastAsia="Times New Roman" w:hAnsi="Times New Roman" w:cs="Times New Roman"/>
                <w:color w:val="000000" w:themeColor="text1"/>
              </w:rPr>
              <w:t>Өрийн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хэрэгслийн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бүртгэлийн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журам</w:t>
            </w:r>
            <w:proofErr w:type="spellEnd"/>
            <w:r w:rsidR="001217C8" w:rsidRPr="003E5AB9">
              <w:rPr>
                <w:rFonts w:ascii="Times New Roman" w:eastAsia="Times New Roman" w:hAnsi="Times New Roman" w:cs="Times New Roman"/>
                <w:color w:val="000000" w:themeColor="text1"/>
              </w:rPr>
              <w:t>”, “</w:t>
            </w:r>
            <w:proofErr w:type="spellStart"/>
            <w:r w:rsidR="001217C8" w:rsidRPr="003E5AB9">
              <w:rPr>
                <w:rFonts w:ascii="Times New Roman" w:eastAsia="Times New Roman" w:hAnsi="Times New Roman" w:cs="Times New Roman"/>
                <w:color w:val="000000" w:themeColor="text1"/>
              </w:rPr>
              <w:t>Биржийн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бус</w:t>
            </w:r>
            <w:proofErr w:type="spellEnd"/>
            <w:r w:rsidR="001217C8" w:rsidRPr="003E5AB9">
              <w:rPr>
                <w:rFonts w:ascii="Times New Roman" w:eastAsia="Times New Roman" w:hAnsi="Times New Roman" w:cs="Times New Roman"/>
                <w:color w:val="000000" w:themeColor="text1"/>
              </w:rPr>
              <w:t xml:space="preserve"> зах </w:t>
            </w:r>
            <w:proofErr w:type="spellStart"/>
            <w:r w:rsidR="001217C8" w:rsidRPr="003E5AB9">
              <w:rPr>
                <w:rFonts w:ascii="Times New Roman" w:eastAsia="Times New Roman" w:hAnsi="Times New Roman" w:cs="Times New Roman"/>
                <w:color w:val="000000" w:themeColor="text1"/>
              </w:rPr>
              <w:t>зээлийн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үйл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ажиллагааны</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журам</w:t>
            </w:r>
            <w:proofErr w:type="spellEnd"/>
            <w:r w:rsidR="001217C8" w:rsidRPr="003E5AB9">
              <w:rPr>
                <w:rFonts w:ascii="Times New Roman" w:eastAsia="Times New Roman" w:hAnsi="Times New Roman" w:cs="Times New Roman"/>
                <w:color w:val="000000" w:themeColor="text1"/>
              </w:rPr>
              <w:t>”-</w:t>
            </w:r>
            <w:proofErr w:type="spellStart"/>
            <w:r w:rsidR="001217C8" w:rsidRPr="003E5AB9">
              <w:rPr>
                <w:rFonts w:ascii="Times New Roman" w:eastAsia="Times New Roman" w:hAnsi="Times New Roman" w:cs="Times New Roman"/>
                <w:color w:val="000000" w:themeColor="text1"/>
              </w:rPr>
              <w:t>уудад</w:t>
            </w:r>
            <w:proofErr w:type="spellEnd"/>
            <w:r w:rsidR="001217C8" w:rsidRPr="003E5AB9">
              <w:rPr>
                <w:rFonts w:ascii="Times New Roman" w:eastAsia="Times New Roman" w:hAnsi="Times New Roman" w:cs="Times New Roman"/>
                <w:color w:val="000000" w:themeColor="text1"/>
              </w:rPr>
              <w:t xml:space="preserve"> ТОП-100 ААН-</w:t>
            </w:r>
            <w:proofErr w:type="spellStart"/>
            <w:r w:rsidR="001217C8" w:rsidRPr="003E5AB9">
              <w:rPr>
                <w:rFonts w:ascii="Times New Roman" w:eastAsia="Times New Roman" w:hAnsi="Times New Roman" w:cs="Times New Roman"/>
                <w:color w:val="000000" w:themeColor="text1"/>
              </w:rPr>
              <w:t>ийг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нийтэд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санал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болгон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хувьцаа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гаргахад</w:t>
            </w:r>
            <w:proofErr w:type="spellEnd"/>
            <w:r w:rsidR="001217C8" w:rsidRPr="003E5AB9">
              <w:rPr>
                <w:rFonts w:ascii="Times New Roman" w:eastAsia="Times New Roman" w:hAnsi="Times New Roman" w:cs="Times New Roman"/>
                <w:color w:val="000000" w:themeColor="text1"/>
              </w:rPr>
              <w:t xml:space="preserve"> хөрөнгийн </w:t>
            </w:r>
            <w:proofErr w:type="spellStart"/>
            <w:r w:rsidR="001217C8" w:rsidRPr="003E5AB9">
              <w:rPr>
                <w:rFonts w:ascii="Times New Roman" w:eastAsia="Times New Roman" w:hAnsi="Times New Roman" w:cs="Times New Roman"/>
                <w:color w:val="000000" w:themeColor="text1"/>
              </w:rPr>
              <w:t>үнэлгээ</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хийлгэхийг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шаардахгүй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нээлттэй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болон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хаалттай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хүрээнд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бонд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гаргахад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аливаа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барьцаа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батлан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даалт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шаардахгүй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нийтэд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санал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болгон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буй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хувьцааг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бүртгүүлэх</w:t>
            </w:r>
            <w:proofErr w:type="spellEnd"/>
            <w:r w:rsidR="001217C8" w:rsidRPr="003E5AB9">
              <w:rPr>
                <w:rFonts w:ascii="Times New Roman" w:eastAsia="Times New Roman" w:hAnsi="Times New Roman" w:cs="Times New Roman"/>
                <w:color w:val="000000" w:themeColor="text1"/>
              </w:rPr>
              <w:t xml:space="preserve"> тухай </w:t>
            </w:r>
            <w:proofErr w:type="spellStart"/>
            <w:r w:rsidR="001217C8" w:rsidRPr="003E5AB9">
              <w:rPr>
                <w:rFonts w:ascii="Times New Roman" w:eastAsia="Times New Roman" w:hAnsi="Times New Roman" w:cs="Times New Roman"/>
                <w:color w:val="000000" w:themeColor="text1"/>
              </w:rPr>
              <w:t>хүсэлтийг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хялбаршуулсан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горимоор</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хянах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бонд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гаргахад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заавал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андеррайтертай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гэрээ</w:t>
            </w:r>
            <w:proofErr w:type="spellEnd"/>
            <w:r w:rsidR="001217C8">
              <w:rPr>
                <w:rFonts w:ascii="Times New Roman" w:eastAsia="Times New Roman" w:hAnsi="Times New Roman" w:cs="Times New Roman"/>
                <w:color w:val="000000" w:themeColor="text1"/>
                <w:lang w:val="mn-MN"/>
              </w:rPr>
              <w:t xml:space="preserve"> </w:t>
            </w:r>
            <w:proofErr w:type="spellStart"/>
            <w:r w:rsidR="001217C8" w:rsidRPr="003E5AB9">
              <w:rPr>
                <w:rFonts w:ascii="Times New Roman" w:eastAsia="Times New Roman" w:hAnsi="Times New Roman" w:cs="Times New Roman"/>
                <w:color w:val="000000" w:themeColor="text1"/>
              </w:rPr>
              <w:t>байгуулахыг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шаардахгүй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зэрэг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нэмэлт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өөрчлөлтийг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хийхээр</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ажиллаж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байна</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Ажлын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хэсгийн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зүгээс</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төлөвлөгөөний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дагуу</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хуралдаж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шаардлагатай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асуудлуудыг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хэлэлцэн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олон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улсын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судалгааг</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хийж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гүйцэтгэсэн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бөгөөд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дэд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бүтцийн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байгууллагуудтай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хамтран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Нээлттэй</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хувьцаат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компани</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болохын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давуу</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тал</w:t>
            </w:r>
            <w:proofErr w:type="spellEnd"/>
            <w:r w:rsidR="001217C8" w:rsidRPr="003E5AB9">
              <w:rPr>
                <w:rFonts w:ascii="Times New Roman" w:eastAsia="Times New Roman" w:hAnsi="Times New Roman" w:cs="Times New Roman"/>
                <w:color w:val="000000" w:themeColor="text1"/>
              </w:rPr>
              <w:t xml:space="preserve">, хөрөнгийн зах </w:t>
            </w:r>
            <w:proofErr w:type="spellStart"/>
            <w:r w:rsidR="001217C8" w:rsidRPr="003E5AB9">
              <w:rPr>
                <w:rFonts w:ascii="Times New Roman" w:eastAsia="Times New Roman" w:hAnsi="Times New Roman" w:cs="Times New Roman"/>
                <w:color w:val="000000" w:themeColor="text1"/>
              </w:rPr>
              <w:t>зээлд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үзүүлэх</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нөлөө</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сэдэвт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уулзалт</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хэлэлцүүлгийг</w:t>
            </w:r>
            <w:proofErr w:type="spellEnd"/>
            <w:r w:rsidR="001217C8" w:rsidRPr="003E5AB9">
              <w:rPr>
                <w:rFonts w:ascii="Times New Roman" w:eastAsia="Times New Roman" w:hAnsi="Times New Roman" w:cs="Times New Roman"/>
                <w:color w:val="000000" w:themeColor="text1"/>
              </w:rPr>
              <w:t xml:space="preserve"> ТОП 100 ААН-</w:t>
            </w:r>
            <w:proofErr w:type="spellStart"/>
            <w:r w:rsidR="001217C8" w:rsidRPr="003E5AB9">
              <w:rPr>
                <w:rFonts w:ascii="Times New Roman" w:eastAsia="Times New Roman" w:hAnsi="Times New Roman" w:cs="Times New Roman"/>
                <w:color w:val="000000" w:themeColor="text1"/>
              </w:rPr>
              <w:t>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төлөөлөл</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болон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мэргэжлийн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оролцогч</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байгууллагуудын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дунд</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зохион</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байгуулахаар</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төлөвлөж</w:t>
            </w:r>
            <w:proofErr w:type="spellEnd"/>
            <w:r w:rsidR="001217C8" w:rsidRPr="003E5AB9">
              <w:rPr>
                <w:rFonts w:ascii="Times New Roman" w:eastAsia="Times New Roman" w:hAnsi="Times New Roman" w:cs="Times New Roman"/>
                <w:color w:val="000000" w:themeColor="text1"/>
              </w:rPr>
              <w:t xml:space="preserve"> </w:t>
            </w:r>
            <w:proofErr w:type="spellStart"/>
            <w:r w:rsidR="001217C8" w:rsidRPr="003E5AB9">
              <w:rPr>
                <w:rFonts w:ascii="Times New Roman" w:eastAsia="Times New Roman" w:hAnsi="Times New Roman" w:cs="Times New Roman"/>
                <w:color w:val="000000" w:themeColor="text1"/>
              </w:rPr>
              <w:t>байна</w:t>
            </w:r>
            <w:proofErr w:type="spellEnd"/>
            <w:r w:rsidR="001217C8" w:rsidRPr="003E5AB9">
              <w:rPr>
                <w:rFonts w:ascii="Times New Roman" w:eastAsia="Times New Roman" w:hAnsi="Times New Roman" w:cs="Times New Roman"/>
                <w:color w:val="000000" w:themeColor="text1"/>
              </w:rPr>
              <w:t>.</w:t>
            </w:r>
          </w:p>
          <w:p w:rsidR="001217C8" w:rsidRPr="00277E7C" w:rsidRDefault="001217C8" w:rsidP="001217C8">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mn-MN"/>
              </w:rPr>
              <w:t>Б</w:t>
            </w:r>
            <w:proofErr w:type="spellStart"/>
            <w:r w:rsidRPr="003E5AB9">
              <w:rPr>
                <w:rFonts w:ascii="Times New Roman" w:eastAsia="Times New Roman" w:hAnsi="Times New Roman" w:cs="Times New Roman"/>
                <w:color w:val="000000" w:themeColor="text1"/>
              </w:rPr>
              <w:t>иржийн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бус</w:t>
            </w:r>
            <w:proofErr w:type="spellEnd"/>
            <w:r w:rsidRPr="003E5AB9">
              <w:rPr>
                <w:rFonts w:ascii="Times New Roman" w:eastAsia="Times New Roman" w:hAnsi="Times New Roman" w:cs="Times New Roman"/>
                <w:color w:val="000000" w:themeColor="text1"/>
              </w:rPr>
              <w:t xml:space="preserve"> зах </w:t>
            </w:r>
            <w:proofErr w:type="spellStart"/>
            <w:r w:rsidRPr="003E5AB9">
              <w:rPr>
                <w:rFonts w:ascii="Times New Roman" w:eastAsia="Times New Roman" w:hAnsi="Times New Roman" w:cs="Times New Roman"/>
                <w:color w:val="000000" w:themeColor="text1"/>
              </w:rPr>
              <w:t>зээлийн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анхдагч</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болон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хоёрдогч</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арилжаа</w:t>
            </w:r>
            <w:proofErr w:type="spellEnd"/>
            <w:r w:rsidRPr="003E5AB9">
              <w:rPr>
                <w:rFonts w:ascii="Times New Roman" w:eastAsia="Times New Roman" w:hAnsi="Times New Roman" w:cs="Times New Roman"/>
                <w:color w:val="000000" w:themeColor="text1"/>
              </w:rPr>
              <w:t xml:space="preserve"> 2021 </w:t>
            </w:r>
            <w:proofErr w:type="spellStart"/>
            <w:r w:rsidRPr="003E5AB9">
              <w:rPr>
                <w:rFonts w:ascii="Times New Roman" w:eastAsia="Times New Roman" w:hAnsi="Times New Roman" w:cs="Times New Roman"/>
                <w:color w:val="000000" w:themeColor="text1"/>
              </w:rPr>
              <w:t>оны</w:t>
            </w:r>
            <w:proofErr w:type="spellEnd"/>
            <w:r w:rsidRPr="003E5AB9">
              <w:rPr>
                <w:rFonts w:ascii="Times New Roman" w:eastAsia="Times New Roman" w:hAnsi="Times New Roman" w:cs="Times New Roman"/>
                <w:color w:val="000000" w:themeColor="text1"/>
              </w:rPr>
              <w:t xml:space="preserve"> </w:t>
            </w:r>
            <w:r w:rsidR="00192349">
              <w:rPr>
                <w:rFonts w:ascii="Times New Roman" w:eastAsia="Times New Roman" w:hAnsi="Times New Roman" w:cs="Times New Roman"/>
                <w:color w:val="000000" w:themeColor="text1"/>
                <w:lang w:val="mn-MN"/>
              </w:rPr>
              <w:t>0</w:t>
            </w:r>
            <w:r w:rsidRPr="003E5AB9">
              <w:rPr>
                <w:rFonts w:ascii="Times New Roman" w:eastAsia="Times New Roman" w:hAnsi="Times New Roman" w:cs="Times New Roman"/>
                <w:color w:val="000000" w:themeColor="text1"/>
              </w:rPr>
              <w:t xml:space="preserve">9 </w:t>
            </w:r>
            <w:proofErr w:type="spellStart"/>
            <w:r w:rsidRPr="003E5AB9">
              <w:rPr>
                <w:rFonts w:ascii="Times New Roman" w:eastAsia="Times New Roman" w:hAnsi="Times New Roman" w:cs="Times New Roman"/>
                <w:color w:val="000000" w:themeColor="text1"/>
              </w:rPr>
              <w:t>дүгээр</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сараас</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эхэлсэн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Биржийн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бус</w:t>
            </w:r>
            <w:proofErr w:type="spellEnd"/>
            <w:r w:rsidRPr="003E5AB9">
              <w:rPr>
                <w:rFonts w:ascii="Times New Roman" w:eastAsia="Times New Roman" w:hAnsi="Times New Roman" w:cs="Times New Roman"/>
                <w:color w:val="000000" w:themeColor="text1"/>
              </w:rPr>
              <w:t xml:space="preserve"> зах </w:t>
            </w:r>
            <w:proofErr w:type="spellStart"/>
            <w:r w:rsidRPr="003E5AB9">
              <w:rPr>
                <w:rFonts w:ascii="Times New Roman" w:eastAsia="Times New Roman" w:hAnsi="Times New Roman" w:cs="Times New Roman"/>
                <w:color w:val="000000" w:themeColor="text1"/>
              </w:rPr>
              <w:t>зээлийн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арилжаа</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эхэлсэн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өдрөөс</w:t>
            </w:r>
            <w:proofErr w:type="spellEnd"/>
            <w:r w:rsidRPr="003E5AB9">
              <w:rPr>
                <w:rFonts w:ascii="Times New Roman" w:eastAsia="Times New Roman" w:hAnsi="Times New Roman" w:cs="Times New Roman"/>
                <w:color w:val="000000" w:themeColor="text1"/>
              </w:rPr>
              <w:t xml:space="preserve"> </w:t>
            </w:r>
            <w:proofErr w:type="spellStart"/>
            <w:r w:rsidRPr="00A65F78">
              <w:rPr>
                <w:rFonts w:ascii="Times New Roman" w:eastAsia="Times New Roman" w:hAnsi="Times New Roman" w:cs="Times New Roman"/>
                <w:color w:val="000000" w:themeColor="text1"/>
              </w:rPr>
              <w:t>хойш</w:t>
            </w:r>
            <w:proofErr w:type="spellEnd"/>
            <w:r w:rsidRPr="00A65F78">
              <w:rPr>
                <w:rFonts w:ascii="Times New Roman" w:eastAsia="Times New Roman" w:hAnsi="Times New Roman" w:cs="Times New Roman"/>
                <w:color w:val="000000" w:themeColor="text1"/>
              </w:rPr>
              <w:t xml:space="preserve"> </w:t>
            </w:r>
            <w:r w:rsidRPr="00A65F78">
              <w:rPr>
                <w:rFonts w:ascii="Times New Roman" w:eastAsia="Times New Roman" w:hAnsi="Times New Roman" w:cs="Times New Roman"/>
              </w:rPr>
              <w:t xml:space="preserve">2024 </w:t>
            </w:r>
            <w:proofErr w:type="spellStart"/>
            <w:r w:rsidRPr="00A65F78">
              <w:rPr>
                <w:rFonts w:ascii="Times New Roman" w:eastAsia="Times New Roman" w:hAnsi="Times New Roman" w:cs="Times New Roman"/>
              </w:rPr>
              <w:t>оны</w:t>
            </w:r>
            <w:proofErr w:type="spellEnd"/>
            <w:r w:rsidRPr="00A65F78">
              <w:rPr>
                <w:rFonts w:ascii="Times New Roman" w:eastAsia="Times New Roman" w:hAnsi="Times New Roman" w:cs="Times New Roman"/>
              </w:rPr>
              <w:t xml:space="preserve"> 09 </w:t>
            </w:r>
            <w:proofErr w:type="spellStart"/>
            <w:r w:rsidRPr="00A65F78">
              <w:rPr>
                <w:rFonts w:ascii="Times New Roman" w:eastAsia="Times New Roman" w:hAnsi="Times New Roman" w:cs="Times New Roman"/>
              </w:rPr>
              <w:t>дугаар</w:t>
            </w:r>
            <w:proofErr w:type="spellEnd"/>
            <w:r w:rsidRPr="00A65F78">
              <w:rPr>
                <w:rFonts w:ascii="Times New Roman" w:eastAsia="Times New Roman" w:hAnsi="Times New Roman" w:cs="Times New Roman"/>
              </w:rPr>
              <w:t xml:space="preserve"> </w:t>
            </w:r>
            <w:proofErr w:type="spellStart"/>
            <w:r w:rsidRPr="00A65F78">
              <w:rPr>
                <w:rFonts w:ascii="Times New Roman" w:eastAsia="Times New Roman" w:hAnsi="Times New Roman" w:cs="Times New Roman"/>
              </w:rPr>
              <w:t>сарын</w:t>
            </w:r>
            <w:proofErr w:type="spellEnd"/>
            <w:r w:rsidRPr="00A65F78">
              <w:rPr>
                <w:rFonts w:ascii="Times New Roman" w:eastAsia="Times New Roman" w:hAnsi="Times New Roman" w:cs="Times New Roman"/>
              </w:rPr>
              <w:t xml:space="preserve"> 30-ны </w:t>
            </w:r>
            <w:proofErr w:type="spellStart"/>
            <w:r w:rsidRPr="003E5AB9">
              <w:rPr>
                <w:rFonts w:ascii="Times New Roman" w:eastAsia="Times New Roman" w:hAnsi="Times New Roman" w:cs="Times New Roman"/>
                <w:color w:val="000000" w:themeColor="text1"/>
              </w:rPr>
              <w:lastRenderedPageBreak/>
              <w:t>өдрийг</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хүртэлх</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хугацаанд</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биржийн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бус</w:t>
            </w:r>
            <w:proofErr w:type="spellEnd"/>
            <w:r w:rsidRPr="003E5AB9">
              <w:rPr>
                <w:rFonts w:ascii="Times New Roman" w:eastAsia="Times New Roman" w:hAnsi="Times New Roman" w:cs="Times New Roman"/>
                <w:color w:val="000000" w:themeColor="text1"/>
              </w:rPr>
              <w:t xml:space="preserve"> зах </w:t>
            </w:r>
            <w:proofErr w:type="spellStart"/>
            <w:r w:rsidRPr="003E5AB9">
              <w:rPr>
                <w:rFonts w:ascii="Times New Roman" w:eastAsia="Times New Roman" w:hAnsi="Times New Roman" w:cs="Times New Roman"/>
                <w:color w:val="000000" w:themeColor="text1"/>
              </w:rPr>
              <w:t>зээлд</w:t>
            </w:r>
            <w:proofErr w:type="spellEnd"/>
            <w:r w:rsidRPr="003E5AB9">
              <w:rPr>
                <w:rFonts w:ascii="Times New Roman" w:eastAsia="Times New Roman" w:hAnsi="Times New Roman" w:cs="Times New Roman"/>
                <w:color w:val="000000" w:themeColor="text1"/>
              </w:rPr>
              <w:t xml:space="preserve"> 1</w:t>
            </w:r>
            <w:r>
              <w:rPr>
                <w:rFonts w:ascii="Times New Roman" w:eastAsia="Times New Roman" w:hAnsi="Times New Roman" w:cs="Times New Roman"/>
                <w:color w:val="000000" w:themeColor="text1"/>
              </w:rPr>
              <w:t>27</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компанийн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нийт</w:t>
            </w:r>
            <w:proofErr w:type="spellEnd"/>
            <w:r w:rsidRPr="003E5A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3</w:t>
            </w:r>
            <w:r w:rsidRPr="003E5AB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37</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их</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наяд</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төгрөгийн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үнийн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дүн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бүхий</w:t>
            </w:r>
            <w:proofErr w:type="spellEnd"/>
            <w:r w:rsidRPr="003E5A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233</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өрийн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хэрэгсэл</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бүртгэгдсэнээс</w:t>
            </w:r>
            <w:proofErr w:type="spellEnd"/>
            <w:r w:rsidRPr="003E5A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w:t>
            </w:r>
            <w:r w:rsidRPr="003E5AB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38</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их</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наяд</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төгрөгийг</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амжилттай</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татан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төвлөрүүлснээс</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гадна</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доллароор</w:t>
            </w:r>
            <w:proofErr w:type="spellEnd"/>
            <w:r w:rsidRPr="003E5A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106.8</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сая</w:t>
            </w:r>
            <w:proofErr w:type="spellEnd"/>
            <w:r w:rsidRPr="003E5AB9">
              <w:rPr>
                <w:rFonts w:ascii="Times New Roman" w:eastAsia="Times New Roman" w:hAnsi="Times New Roman" w:cs="Times New Roman"/>
                <w:color w:val="000000" w:themeColor="text1"/>
              </w:rPr>
              <w:t xml:space="preserve"> </w:t>
            </w:r>
            <w:proofErr w:type="spellStart"/>
            <w:proofErr w:type="gramStart"/>
            <w:r w:rsidRPr="003E5AB9">
              <w:rPr>
                <w:rFonts w:ascii="Times New Roman" w:eastAsia="Times New Roman" w:hAnsi="Times New Roman" w:cs="Times New Roman"/>
                <w:color w:val="000000" w:themeColor="text1"/>
              </w:rPr>
              <w:t>ам.долларын</w:t>
            </w:r>
            <w:proofErr w:type="spellEnd"/>
            <w:proofErr w:type="gram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үнийн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дүн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бүхий</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өрийн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хэрэгсэл</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бүртгэгдэж</w:t>
            </w:r>
            <w:proofErr w:type="spellEnd"/>
            <w:r w:rsidRPr="003E5AB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66</w:t>
            </w:r>
            <w:r w:rsidRPr="003E5AB9">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4</w:t>
            </w:r>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сая</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ам.долларыг</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амжилттай</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татан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төвлөрүүлсэн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байна</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Энэ</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нь</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компанийн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бондын</w:t>
            </w:r>
            <w:proofErr w:type="spellEnd"/>
            <w:r w:rsidRPr="003E5AB9">
              <w:rPr>
                <w:rFonts w:ascii="Times New Roman" w:eastAsia="Times New Roman" w:hAnsi="Times New Roman" w:cs="Times New Roman"/>
                <w:color w:val="000000" w:themeColor="text1"/>
              </w:rPr>
              <w:t xml:space="preserve"> зах </w:t>
            </w:r>
            <w:proofErr w:type="spellStart"/>
            <w:r w:rsidRPr="003E5AB9">
              <w:rPr>
                <w:rFonts w:ascii="Times New Roman" w:eastAsia="Times New Roman" w:hAnsi="Times New Roman" w:cs="Times New Roman"/>
                <w:color w:val="000000" w:themeColor="text1"/>
              </w:rPr>
              <w:t>зээлийн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арилжаа</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биржийн</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бус</w:t>
            </w:r>
            <w:proofErr w:type="spellEnd"/>
            <w:r w:rsidRPr="003E5AB9">
              <w:rPr>
                <w:rFonts w:ascii="Times New Roman" w:eastAsia="Times New Roman" w:hAnsi="Times New Roman" w:cs="Times New Roman"/>
                <w:color w:val="000000" w:themeColor="text1"/>
              </w:rPr>
              <w:t xml:space="preserve"> зах зээл </w:t>
            </w:r>
            <w:proofErr w:type="spellStart"/>
            <w:r w:rsidRPr="003E5AB9">
              <w:rPr>
                <w:rFonts w:ascii="Times New Roman" w:eastAsia="Times New Roman" w:hAnsi="Times New Roman" w:cs="Times New Roman"/>
                <w:color w:val="000000" w:themeColor="text1"/>
              </w:rPr>
              <w:t>дээр</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идэвхтэй</w:t>
            </w:r>
            <w:proofErr w:type="spellEnd"/>
            <w:r w:rsidRPr="003E5AB9">
              <w:rPr>
                <w:rFonts w:ascii="Times New Roman" w:eastAsia="Times New Roman" w:hAnsi="Times New Roman" w:cs="Times New Roman"/>
                <w:color w:val="000000" w:themeColor="text1"/>
              </w:rPr>
              <w:t xml:space="preserve"> </w:t>
            </w:r>
            <w:proofErr w:type="spellStart"/>
            <w:r w:rsidRPr="003E5AB9">
              <w:rPr>
                <w:rFonts w:ascii="Times New Roman" w:eastAsia="Times New Roman" w:hAnsi="Times New Roman" w:cs="Times New Roman"/>
                <w:color w:val="000000" w:themeColor="text1"/>
              </w:rPr>
              <w:t>явагдаж</w:t>
            </w:r>
            <w:proofErr w:type="spellEnd"/>
            <w:r w:rsidRPr="003E5AB9">
              <w:rPr>
                <w:rFonts w:ascii="Times New Roman" w:eastAsia="Times New Roman" w:hAnsi="Times New Roman" w:cs="Times New Roman"/>
                <w:color w:val="000000" w:themeColor="text1"/>
              </w:rPr>
              <w:t xml:space="preserve"> </w:t>
            </w:r>
            <w:proofErr w:type="spellStart"/>
            <w:r w:rsidRPr="00277E7C">
              <w:rPr>
                <w:rFonts w:ascii="Times New Roman" w:eastAsia="Times New Roman" w:hAnsi="Times New Roman" w:cs="Times New Roman"/>
                <w:color w:val="000000" w:themeColor="text1"/>
              </w:rPr>
              <w:t>байгааг</w:t>
            </w:r>
            <w:proofErr w:type="spellEnd"/>
            <w:r w:rsidRPr="00277E7C">
              <w:rPr>
                <w:rFonts w:ascii="Times New Roman" w:eastAsia="Times New Roman" w:hAnsi="Times New Roman" w:cs="Times New Roman"/>
                <w:color w:val="000000" w:themeColor="text1"/>
              </w:rPr>
              <w:t xml:space="preserve"> </w:t>
            </w:r>
            <w:proofErr w:type="spellStart"/>
            <w:r w:rsidRPr="00277E7C">
              <w:rPr>
                <w:rFonts w:ascii="Times New Roman" w:eastAsia="Times New Roman" w:hAnsi="Times New Roman" w:cs="Times New Roman"/>
                <w:color w:val="000000" w:themeColor="text1"/>
              </w:rPr>
              <w:t>илтгэн</w:t>
            </w:r>
            <w:proofErr w:type="spellEnd"/>
            <w:r w:rsidRPr="00277E7C">
              <w:rPr>
                <w:rFonts w:ascii="Times New Roman" w:eastAsia="Times New Roman" w:hAnsi="Times New Roman" w:cs="Times New Roman"/>
                <w:color w:val="000000" w:themeColor="text1"/>
              </w:rPr>
              <w:t xml:space="preserve"> </w:t>
            </w:r>
            <w:proofErr w:type="spellStart"/>
            <w:r w:rsidRPr="00277E7C">
              <w:rPr>
                <w:rFonts w:ascii="Times New Roman" w:eastAsia="Times New Roman" w:hAnsi="Times New Roman" w:cs="Times New Roman"/>
                <w:color w:val="000000" w:themeColor="text1"/>
              </w:rPr>
              <w:t>харуулж</w:t>
            </w:r>
            <w:proofErr w:type="spellEnd"/>
            <w:r w:rsidRPr="00277E7C">
              <w:rPr>
                <w:rFonts w:ascii="Times New Roman" w:eastAsia="Times New Roman" w:hAnsi="Times New Roman" w:cs="Times New Roman"/>
                <w:color w:val="000000" w:themeColor="text1"/>
              </w:rPr>
              <w:t xml:space="preserve"> </w:t>
            </w:r>
            <w:proofErr w:type="spellStart"/>
            <w:r w:rsidRPr="00277E7C">
              <w:rPr>
                <w:rFonts w:ascii="Times New Roman" w:eastAsia="Times New Roman" w:hAnsi="Times New Roman" w:cs="Times New Roman"/>
                <w:color w:val="000000" w:themeColor="text1"/>
              </w:rPr>
              <w:t>байна</w:t>
            </w:r>
            <w:proofErr w:type="spellEnd"/>
            <w:r w:rsidRPr="00277E7C">
              <w:rPr>
                <w:rFonts w:ascii="Times New Roman" w:eastAsia="Times New Roman" w:hAnsi="Times New Roman" w:cs="Times New Roman"/>
                <w:color w:val="000000" w:themeColor="text1"/>
              </w:rPr>
              <w:t>.</w:t>
            </w:r>
          </w:p>
          <w:p w:rsidR="001217C8" w:rsidRDefault="001217C8" w:rsidP="001217C8">
            <w:pPr>
              <w:jc w:val="both"/>
              <w:rPr>
                <w:rFonts w:ascii="Times New Roman" w:eastAsia="Times New Roman" w:hAnsi="Times New Roman" w:cs="Times New Roman"/>
              </w:rPr>
            </w:pPr>
            <w:r w:rsidRPr="00277E7C">
              <w:rPr>
                <w:rFonts w:ascii="Times New Roman" w:eastAsia="Times New Roman" w:hAnsi="Times New Roman" w:cs="Times New Roman"/>
              </w:rPr>
              <w:t xml:space="preserve">2024 </w:t>
            </w:r>
            <w:proofErr w:type="spellStart"/>
            <w:r w:rsidRPr="00277E7C">
              <w:rPr>
                <w:rFonts w:ascii="Times New Roman" w:eastAsia="Times New Roman" w:hAnsi="Times New Roman" w:cs="Times New Roman"/>
              </w:rPr>
              <w:t>оны</w:t>
            </w:r>
            <w:proofErr w:type="spellEnd"/>
            <w:r w:rsidRPr="00277E7C">
              <w:rPr>
                <w:rFonts w:ascii="Times New Roman" w:eastAsia="Times New Roman" w:hAnsi="Times New Roman" w:cs="Times New Roman"/>
              </w:rPr>
              <w:t xml:space="preserve"> 3 </w:t>
            </w:r>
            <w:proofErr w:type="spellStart"/>
            <w:r w:rsidRPr="00277E7C">
              <w:rPr>
                <w:rFonts w:ascii="Times New Roman" w:eastAsia="Times New Roman" w:hAnsi="Times New Roman" w:cs="Times New Roman"/>
              </w:rPr>
              <w:t>дугаар</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улирлын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байдлаар</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нийт</w:t>
            </w:r>
            <w:proofErr w:type="spellEnd"/>
            <w:r w:rsidRPr="00277E7C">
              <w:rPr>
                <w:rFonts w:ascii="Times New Roman" w:eastAsia="Times New Roman" w:hAnsi="Times New Roman" w:cs="Times New Roman"/>
              </w:rPr>
              <w:t xml:space="preserve"> 1.06 </w:t>
            </w:r>
            <w:proofErr w:type="spellStart"/>
            <w:r w:rsidRPr="00277E7C">
              <w:rPr>
                <w:rFonts w:ascii="Times New Roman" w:eastAsia="Times New Roman" w:hAnsi="Times New Roman" w:cs="Times New Roman"/>
              </w:rPr>
              <w:t>их</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наяд</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төгрөгийн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үнэт</w:t>
            </w:r>
            <w:proofErr w:type="spellEnd"/>
            <w:r w:rsidRPr="00277E7C">
              <w:rPr>
                <w:rFonts w:ascii="Times New Roman" w:eastAsia="Times New Roman" w:hAnsi="Times New Roman" w:cs="Times New Roman"/>
              </w:rPr>
              <w:t xml:space="preserve"> цаасны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хийгдсэн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нь</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өмнөх</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оны</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мөн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үеэс</w:t>
            </w:r>
            <w:proofErr w:type="spellEnd"/>
            <w:r w:rsidRPr="00277E7C">
              <w:rPr>
                <w:rFonts w:ascii="Times New Roman" w:eastAsia="Times New Roman" w:hAnsi="Times New Roman" w:cs="Times New Roman"/>
              </w:rPr>
              <w:t xml:space="preserve"> 1.62 </w:t>
            </w:r>
            <w:proofErr w:type="spellStart"/>
            <w:r w:rsidRPr="00277E7C">
              <w:rPr>
                <w:rFonts w:ascii="Times New Roman" w:eastAsia="Times New Roman" w:hAnsi="Times New Roman" w:cs="Times New Roman"/>
              </w:rPr>
              <w:t>дахин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өссөн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үзүүлэлт</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бөгөөд</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өдрийн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дундаж</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5.7 </w:t>
            </w:r>
            <w:proofErr w:type="spellStart"/>
            <w:r w:rsidRPr="00277E7C">
              <w:rPr>
                <w:rFonts w:ascii="Times New Roman" w:eastAsia="Times New Roman" w:hAnsi="Times New Roman" w:cs="Times New Roman"/>
              </w:rPr>
              <w:t>тэрбум</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төгрөг</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байна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Нийт</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арилжааны</w:t>
            </w:r>
            <w:proofErr w:type="spellEnd"/>
            <w:r w:rsidRPr="00277E7C">
              <w:rPr>
                <w:rFonts w:ascii="Times New Roman" w:eastAsia="Times New Roman" w:hAnsi="Times New Roman" w:cs="Times New Roman"/>
              </w:rPr>
              <w:t xml:space="preserve"> 998.9 </w:t>
            </w:r>
            <w:proofErr w:type="spellStart"/>
            <w:r w:rsidRPr="00277E7C">
              <w:rPr>
                <w:rFonts w:ascii="Times New Roman" w:eastAsia="Times New Roman" w:hAnsi="Times New Roman" w:cs="Times New Roman"/>
              </w:rPr>
              <w:t>тэрбум</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төгрөгийн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үнэт</w:t>
            </w:r>
            <w:proofErr w:type="spellEnd"/>
            <w:r w:rsidRPr="00277E7C">
              <w:rPr>
                <w:rFonts w:ascii="Times New Roman" w:eastAsia="Times New Roman" w:hAnsi="Times New Roman" w:cs="Times New Roman"/>
              </w:rPr>
              <w:t xml:space="preserve"> цаасны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эрхлэх</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байгууллагаар</w:t>
            </w:r>
            <w:proofErr w:type="spellEnd"/>
            <w:r w:rsidRPr="00277E7C">
              <w:rPr>
                <w:rFonts w:ascii="Times New Roman" w:eastAsia="Times New Roman" w:hAnsi="Times New Roman" w:cs="Times New Roman"/>
              </w:rPr>
              <w:t xml:space="preserve">, 59.8 </w:t>
            </w:r>
            <w:proofErr w:type="spellStart"/>
            <w:r w:rsidRPr="00277E7C">
              <w:rPr>
                <w:rFonts w:ascii="Times New Roman" w:eastAsia="Times New Roman" w:hAnsi="Times New Roman" w:cs="Times New Roman"/>
              </w:rPr>
              <w:t>тэрбум</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төгрөгийн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хамтын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нээлттэй</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хөрөнгө</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оруулалтын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сангаар</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тус</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тус</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хийгдсэн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байна</w:t>
            </w:r>
            <w:proofErr w:type="spellEnd"/>
            <w:r w:rsidRPr="00277E7C">
              <w:rPr>
                <w:rFonts w:ascii="Times New Roman" w:eastAsia="Times New Roman" w:hAnsi="Times New Roman" w:cs="Times New Roman"/>
              </w:rPr>
              <w:t xml:space="preserve">. </w:t>
            </w:r>
          </w:p>
          <w:p w:rsidR="001217C8" w:rsidRPr="00277E7C" w:rsidRDefault="001217C8" w:rsidP="001217C8">
            <w:pPr>
              <w:jc w:val="both"/>
              <w:rPr>
                <w:rFonts w:ascii="Times New Roman" w:eastAsia="Times New Roman" w:hAnsi="Times New Roman" w:cs="Times New Roman"/>
              </w:rPr>
            </w:pPr>
            <w:proofErr w:type="spellStart"/>
            <w:r w:rsidRPr="00277E7C">
              <w:rPr>
                <w:rFonts w:ascii="Times New Roman" w:eastAsia="Times New Roman" w:hAnsi="Times New Roman" w:cs="Times New Roman"/>
              </w:rPr>
              <w:t>Тайлант</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хугацаанд</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компанийн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өрийн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хэрэгслийн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түлхүү</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явагдсан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бөгөөд</w:t>
            </w:r>
            <w:proofErr w:type="spellEnd"/>
            <w:r>
              <w:rPr>
                <w:rFonts w:ascii="Times New Roman" w:eastAsia="Times New Roman" w:hAnsi="Times New Roman" w:cs="Times New Roman"/>
                <w:lang w:val="mn-MN"/>
              </w:rPr>
              <w:t xml:space="preserve"> </w:t>
            </w:r>
            <w:proofErr w:type="spellStart"/>
            <w:r w:rsidRPr="00277E7C">
              <w:rPr>
                <w:rFonts w:ascii="Times New Roman" w:eastAsia="Times New Roman" w:hAnsi="Times New Roman" w:cs="Times New Roman"/>
              </w:rPr>
              <w:t>нийт</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үнэт</w:t>
            </w:r>
            <w:proofErr w:type="spellEnd"/>
            <w:r w:rsidRPr="00277E7C">
              <w:rPr>
                <w:rFonts w:ascii="Times New Roman" w:eastAsia="Times New Roman" w:hAnsi="Times New Roman" w:cs="Times New Roman"/>
              </w:rPr>
              <w:t xml:space="preserve"> цаасны </w:t>
            </w:r>
            <w:proofErr w:type="spellStart"/>
            <w:r w:rsidRPr="00277E7C">
              <w:rPr>
                <w:rFonts w:ascii="Times New Roman" w:eastAsia="Times New Roman" w:hAnsi="Times New Roman" w:cs="Times New Roman"/>
              </w:rPr>
              <w:t>арилжааны</w:t>
            </w:r>
            <w:proofErr w:type="spellEnd"/>
            <w:r w:rsidRPr="00277E7C">
              <w:rPr>
                <w:rFonts w:ascii="Times New Roman" w:eastAsia="Times New Roman" w:hAnsi="Times New Roman" w:cs="Times New Roman"/>
              </w:rPr>
              <w:t xml:space="preserve"> 58.44 </w:t>
            </w:r>
            <w:proofErr w:type="spellStart"/>
            <w:r w:rsidRPr="00277E7C">
              <w:rPr>
                <w:rFonts w:ascii="Times New Roman" w:eastAsia="Times New Roman" w:hAnsi="Times New Roman" w:cs="Times New Roman"/>
              </w:rPr>
              <w:t>хувийг</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компанийн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өрийн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хэрэгсэл</w:t>
            </w:r>
            <w:proofErr w:type="spellEnd"/>
            <w:r w:rsidRPr="00277E7C">
              <w:rPr>
                <w:rFonts w:ascii="Times New Roman" w:eastAsia="Times New Roman" w:hAnsi="Times New Roman" w:cs="Times New Roman"/>
              </w:rPr>
              <w:t xml:space="preserve">, 23.06 </w:t>
            </w:r>
            <w:proofErr w:type="spellStart"/>
            <w:r w:rsidRPr="00277E7C">
              <w:rPr>
                <w:rFonts w:ascii="Times New Roman" w:eastAsia="Times New Roman" w:hAnsi="Times New Roman" w:cs="Times New Roman"/>
              </w:rPr>
              <w:t>хувийг</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хувьцаа</w:t>
            </w:r>
            <w:proofErr w:type="spellEnd"/>
            <w:r w:rsidRPr="00277E7C">
              <w:rPr>
                <w:rFonts w:ascii="Times New Roman" w:eastAsia="Times New Roman" w:hAnsi="Times New Roman" w:cs="Times New Roman"/>
              </w:rPr>
              <w:t xml:space="preserve">, 12.44 </w:t>
            </w:r>
            <w:proofErr w:type="spellStart"/>
            <w:r w:rsidRPr="00277E7C">
              <w:rPr>
                <w:rFonts w:ascii="Times New Roman" w:eastAsia="Times New Roman" w:hAnsi="Times New Roman" w:cs="Times New Roman"/>
              </w:rPr>
              <w:t>хувийг</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хөрөнгөөр</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баталгаажсан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үнэт</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цаас</w:t>
            </w:r>
            <w:proofErr w:type="spellEnd"/>
            <w:r w:rsidRPr="00277E7C">
              <w:rPr>
                <w:rFonts w:ascii="Times New Roman" w:eastAsia="Times New Roman" w:hAnsi="Times New Roman" w:cs="Times New Roman"/>
              </w:rPr>
              <w:t xml:space="preserve">, 6.07 </w:t>
            </w:r>
            <w:proofErr w:type="spellStart"/>
            <w:r w:rsidRPr="00277E7C">
              <w:rPr>
                <w:rFonts w:ascii="Times New Roman" w:eastAsia="Times New Roman" w:hAnsi="Times New Roman" w:cs="Times New Roman"/>
              </w:rPr>
              <w:t>хувийг</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хөрөнгө</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оруулалтын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сангийн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нэгж</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эрхийн</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арилжаа</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тус</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тус</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эзэлж</w:t>
            </w:r>
            <w:proofErr w:type="spellEnd"/>
            <w:r w:rsidRPr="00277E7C">
              <w:rPr>
                <w:rFonts w:ascii="Times New Roman" w:eastAsia="Times New Roman" w:hAnsi="Times New Roman" w:cs="Times New Roman"/>
              </w:rPr>
              <w:t xml:space="preserve"> </w:t>
            </w:r>
            <w:proofErr w:type="spellStart"/>
            <w:r w:rsidRPr="00277E7C">
              <w:rPr>
                <w:rFonts w:ascii="Times New Roman" w:eastAsia="Times New Roman" w:hAnsi="Times New Roman" w:cs="Times New Roman"/>
              </w:rPr>
              <w:t>байна</w:t>
            </w:r>
            <w:proofErr w:type="spellEnd"/>
            <w:r w:rsidRPr="00277E7C">
              <w:rPr>
                <w:rFonts w:ascii="Times New Roman" w:eastAsia="Times New Roman" w:hAnsi="Times New Roman" w:cs="Times New Roman"/>
              </w:rPr>
              <w:t>.</w:t>
            </w:r>
          </w:p>
          <w:p w:rsidR="002553F5" w:rsidRPr="001217C8" w:rsidRDefault="00FB5A10" w:rsidP="00B718BB">
            <w:pPr>
              <w:jc w:val="both"/>
              <w:rPr>
                <w:rFonts w:ascii="Times New Roman" w:eastAsia="Times New Roman" w:hAnsi="Times New Roman" w:cs="Times New Roman"/>
                <w:bCs/>
                <w:color w:val="000000" w:themeColor="text1"/>
                <w:lang w:val="mn-MN"/>
              </w:rPr>
            </w:pPr>
            <w:r w:rsidRPr="00FB5A10">
              <w:rPr>
                <w:rFonts w:ascii="Times New Roman" w:hAnsi="Times New Roman" w:cs="Times New Roman"/>
              </w:rPr>
              <w:lastRenderedPageBreak/>
              <w:t xml:space="preserve">Үнэт цаасны зах </w:t>
            </w:r>
            <w:proofErr w:type="spellStart"/>
            <w:r w:rsidRPr="00FB5A10">
              <w:rPr>
                <w:rFonts w:ascii="Times New Roman" w:hAnsi="Times New Roman" w:cs="Times New Roman"/>
              </w:rPr>
              <w:t>зээлийн</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голлох</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үзүүлэлт</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болох</w:t>
            </w:r>
            <w:proofErr w:type="spellEnd"/>
            <w:r w:rsidRPr="00FB5A10">
              <w:rPr>
                <w:rFonts w:ascii="Times New Roman" w:hAnsi="Times New Roman" w:cs="Times New Roman"/>
              </w:rPr>
              <w:t xml:space="preserve"> зах зээлийн үнэлгээ Монгол Улсын хувьд 2023 оны жилийн эцсийн байдлаар 11.65 их наяд төгрөгт хүрсэн нь өмнөх оны мөн үетэй харьцуулахад 69 хувиар өссөн бөгөөд уг үзүүлэлт ДНБ-ний 16.7 хувьтай тэнцсэн. 2024 оны 3 дугаар улирлын байдлаар 12.1 их наяд төгрөгт хүрсэн нь өмнөх оны мөн үеэс 17.6 хувиар </w:t>
            </w:r>
            <w:proofErr w:type="spellStart"/>
            <w:r w:rsidRPr="00FB5A10">
              <w:rPr>
                <w:rFonts w:ascii="Times New Roman" w:hAnsi="Times New Roman" w:cs="Times New Roman"/>
              </w:rPr>
              <w:t>өссөн</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бөгөөд</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уг</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үзүүлэлт</w:t>
            </w:r>
            <w:proofErr w:type="spellEnd"/>
            <w:r w:rsidRPr="00FB5A10">
              <w:rPr>
                <w:rFonts w:ascii="Times New Roman" w:hAnsi="Times New Roman" w:cs="Times New Roman"/>
              </w:rPr>
              <w:t xml:space="preserve"> ДНБ-</w:t>
            </w:r>
            <w:proofErr w:type="spellStart"/>
            <w:r w:rsidRPr="00FB5A10">
              <w:rPr>
                <w:rFonts w:ascii="Times New Roman" w:hAnsi="Times New Roman" w:cs="Times New Roman"/>
              </w:rPr>
              <w:t>ний</w:t>
            </w:r>
            <w:proofErr w:type="spellEnd"/>
            <w:r w:rsidRPr="00FB5A10">
              <w:rPr>
                <w:rFonts w:ascii="Times New Roman" w:hAnsi="Times New Roman" w:cs="Times New Roman"/>
              </w:rPr>
              <w:t xml:space="preserve"> 16.9 </w:t>
            </w:r>
            <w:proofErr w:type="spellStart"/>
            <w:r w:rsidRPr="00FB5A10">
              <w:rPr>
                <w:rFonts w:ascii="Times New Roman" w:hAnsi="Times New Roman" w:cs="Times New Roman"/>
              </w:rPr>
              <w:t>хувьтай</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тэнцэж</w:t>
            </w:r>
            <w:proofErr w:type="spellEnd"/>
            <w:r w:rsidRPr="00FB5A10">
              <w:rPr>
                <w:rFonts w:ascii="Times New Roman" w:hAnsi="Times New Roman" w:cs="Times New Roman"/>
              </w:rPr>
              <w:t xml:space="preserve"> </w:t>
            </w:r>
            <w:proofErr w:type="spellStart"/>
            <w:r w:rsidRPr="00FB5A10">
              <w:rPr>
                <w:rFonts w:ascii="Times New Roman" w:hAnsi="Times New Roman" w:cs="Times New Roman"/>
              </w:rPr>
              <w:t>байна</w:t>
            </w:r>
            <w:proofErr w:type="spellEnd"/>
            <w:r w:rsidRPr="00FB5A10">
              <w:rPr>
                <w:rFonts w:ascii="Times New Roman" w:hAnsi="Times New Roman" w:cs="Times New Roman"/>
              </w:rPr>
              <w:t>.</w:t>
            </w:r>
          </w:p>
        </w:tc>
        <w:tc>
          <w:tcPr>
            <w:tcW w:w="708" w:type="dxa"/>
          </w:tcPr>
          <w:p w:rsidR="00A802A8" w:rsidRPr="00A7073E" w:rsidRDefault="00ED44B6" w:rsidP="00ED44B6">
            <w:pPr>
              <w:jc w:val="center"/>
              <w:rPr>
                <w:rFonts w:ascii="Times New Roman" w:hAnsi="Times New Roman" w:cs="Times New Roman"/>
                <w:lang w:val="mn-MN"/>
              </w:rPr>
            </w:pPr>
            <w:r>
              <w:rPr>
                <w:rFonts w:ascii="Times New Roman" w:hAnsi="Times New Roman" w:cs="Times New Roman"/>
              </w:rPr>
              <w:lastRenderedPageBreak/>
              <w:t xml:space="preserve"> </w:t>
            </w:r>
            <w:r w:rsidR="00A7073E">
              <w:rPr>
                <w:rFonts w:ascii="Times New Roman" w:hAnsi="Times New Roman" w:cs="Times New Roman"/>
                <w:lang w:val="mn-MN"/>
              </w:rPr>
              <w:t>100</w:t>
            </w:r>
          </w:p>
        </w:tc>
      </w:tr>
      <w:tr w:rsidR="00EF400F" w:rsidRPr="00A7281F" w:rsidTr="00DF2AC2">
        <w:tc>
          <w:tcPr>
            <w:tcW w:w="14601" w:type="dxa"/>
            <w:gridSpan w:val="13"/>
          </w:tcPr>
          <w:p w:rsidR="00EF400F" w:rsidRPr="00A7281F" w:rsidRDefault="00EF400F" w:rsidP="00EF400F">
            <w:pPr>
              <w:jc w:val="center"/>
              <w:rPr>
                <w:rFonts w:ascii="Times New Roman" w:hAnsi="Times New Roman" w:cs="Times New Roman"/>
              </w:rPr>
            </w:pPr>
            <w:r w:rsidRPr="00A7281F">
              <w:rPr>
                <w:rFonts w:ascii="Times New Roman" w:hAnsi="Times New Roman" w:cs="Times New Roman"/>
                <w:lang w:val="mn-MN"/>
              </w:rPr>
              <w:lastRenderedPageBreak/>
              <w:t>АЛСЫН ХАРАА</w:t>
            </w:r>
            <w:r w:rsidR="00B71D2E" w:rsidRPr="00A7281F">
              <w:rPr>
                <w:rFonts w:ascii="Times New Roman" w:hAnsi="Times New Roman" w:cs="Times New Roman"/>
              </w:rPr>
              <w:t xml:space="preserve"> </w:t>
            </w:r>
            <w:r w:rsidRPr="00A7281F">
              <w:rPr>
                <w:rFonts w:ascii="Times New Roman" w:hAnsi="Times New Roman" w:cs="Times New Roman"/>
                <w:lang w:val="mn-MN"/>
              </w:rPr>
              <w:t>2050 МОНГОЛ УЛСЫН УРТ ХУГАЦААНЫ ХӨГЖЛИЙН БОДЛОГО: ЗАСАГЛАЛ БҮЛГИЙН ХҮРЭЭНД:</w:t>
            </w:r>
          </w:p>
        </w:tc>
      </w:tr>
      <w:tr w:rsidR="00EF400F" w:rsidRPr="00A7281F" w:rsidTr="00DF2AC2">
        <w:tc>
          <w:tcPr>
            <w:tcW w:w="14601" w:type="dxa"/>
            <w:gridSpan w:val="13"/>
          </w:tcPr>
          <w:p w:rsidR="00EF400F" w:rsidRPr="00A7281F" w:rsidRDefault="00EF400F" w:rsidP="00EF400F">
            <w:pPr>
              <w:jc w:val="center"/>
              <w:rPr>
                <w:rFonts w:ascii="Times New Roman" w:hAnsi="Times New Roman" w:cs="Times New Roman"/>
              </w:rPr>
            </w:pPr>
            <w:r w:rsidRPr="00A7281F">
              <w:rPr>
                <w:rFonts w:ascii="Times New Roman" w:hAnsi="Times New Roman" w:cs="Times New Roman"/>
                <w:lang w:val="mn-MN"/>
              </w:rPr>
              <w:t>ТЭРГҮҮЛЭХ ЧИГЛЭЛ 7. ЗАСАГЛАЛЫН ҮЗҮҮЛЭЛТИЙГ САЙЖРУУЛНА.</w:t>
            </w:r>
          </w:p>
        </w:tc>
      </w:tr>
      <w:tr w:rsidR="00EF400F" w:rsidRPr="00A7281F" w:rsidTr="00DF2AC2">
        <w:tc>
          <w:tcPr>
            <w:tcW w:w="14601" w:type="dxa"/>
            <w:gridSpan w:val="13"/>
          </w:tcPr>
          <w:p w:rsidR="00EF400F" w:rsidRPr="00A7281F" w:rsidRDefault="00EF400F" w:rsidP="00EF400F">
            <w:pPr>
              <w:rPr>
                <w:rFonts w:ascii="Times New Roman" w:hAnsi="Times New Roman" w:cs="Times New Roman"/>
                <w:b/>
                <w:bCs/>
                <w:lang w:val="mn-MN"/>
              </w:rPr>
            </w:pPr>
            <w:r w:rsidRPr="00A7281F">
              <w:rPr>
                <w:rFonts w:ascii="Times New Roman" w:hAnsi="Times New Roman" w:cs="Times New Roman"/>
                <w:b/>
                <w:bCs/>
                <w:color w:val="000000"/>
                <w:shd w:val="clear" w:color="auto" w:fill="FFFFFF"/>
              </w:rPr>
              <w:t>7.1. Авлигын үзүүлэлтийг сайжруулна.</w:t>
            </w:r>
          </w:p>
        </w:tc>
      </w:tr>
      <w:tr w:rsidR="009A1DEB" w:rsidRPr="00A7281F" w:rsidTr="0000007B">
        <w:tc>
          <w:tcPr>
            <w:tcW w:w="709" w:type="dxa"/>
          </w:tcPr>
          <w:p w:rsidR="00A802A8" w:rsidRPr="00A7281F" w:rsidRDefault="00EF400F" w:rsidP="00A802A8">
            <w:pPr>
              <w:rPr>
                <w:rFonts w:ascii="Times New Roman" w:hAnsi="Times New Roman" w:cs="Times New Roman"/>
                <w:lang w:val="mn-MN"/>
              </w:rPr>
            </w:pPr>
            <w:r w:rsidRPr="00A7281F">
              <w:rPr>
                <w:rFonts w:ascii="Times New Roman" w:hAnsi="Times New Roman" w:cs="Times New Roman"/>
                <w:lang w:val="mn-MN"/>
              </w:rPr>
              <w:t>7.1.1</w:t>
            </w:r>
          </w:p>
        </w:tc>
        <w:tc>
          <w:tcPr>
            <w:tcW w:w="1985" w:type="dxa"/>
          </w:tcPr>
          <w:p w:rsidR="00A802A8" w:rsidRPr="00A7281F" w:rsidRDefault="00EF400F" w:rsidP="00A802A8">
            <w:pPr>
              <w:rPr>
                <w:rFonts w:ascii="Times New Roman" w:hAnsi="Times New Roman" w:cs="Times New Roman"/>
              </w:rPr>
            </w:pPr>
            <w:r w:rsidRPr="00A7281F">
              <w:rPr>
                <w:rFonts w:ascii="Times New Roman" w:hAnsi="Times New Roman" w:cs="Times New Roman"/>
                <w:color w:val="000000"/>
                <w:shd w:val="clear" w:color="auto" w:fill="FFFFFF"/>
              </w:rPr>
              <w:t>АХ-4.3.16,</w:t>
            </w:r>
            <w:r w:rsidRPr="00A7281F">
              <w:rPr>
                <w:rFonts w:ascii="Times New Roman" w:hAnsi="Times New Roman" w:cs="Times New Roman"/>
                <w:color w:val="333333"/>
              </w:rPr>
              <w:br/>
            </w:r>
            <w:r w:rsidRPr="00A7281F">
              <w:rPr>
                <w:rFonts w:ascii="Times New Roman" w:hAnsi="Times New Roman" w:cs="Times New Roman"/>
                <w:color w:val="000000"/>
                <w:shd w:val="clear" w:color="auto" w:fill="FFFFFF"/>
              </w:rPr>
              <w:t>МУХТЖҮЧ-5.6.2,</w:t>
            </w:r>
            <w:r w:rsidRPr="00A7281F">
              <w:rPr>
                <w:rFonts w:ascii="Times New Roman" w:hAnsi="Times New Roman" w:cs="Times New Roman"/>
                <w:color w:val="333333"/>
              </w:rPr>
              <w:br/>
            </w:r>
            <w:r w:rsidRPr="00A7281F">
              <w:rPr>
                <w:rFonts w:ascii="Times New Roman" w:hAnsi="Times New Roman" w:cs="Times New Roman"/>
                <w:color w:val="000000"/>
                <w:shd w:val="clear" w:color="auto" w:fill="FFFFFF"/>
              </w:rPr>
              <w:t>ЗГҮАХ-4.2.1</w:t>
            </w:r>
          </w:p>
        </w:tc>
        <w:tc>
          <w:tcPr>
            <w:tcW w:w="1418" w:type="dxa"/>
          </w:tcPr>
          <w:p w:rsidR="00EF400F" w:rsidRPr="00A7281F" w:rsidRDefault="00EF400F" w:rsidP="00A802A8">
            <w:pPr>
              <w:rPr>
                <w:rFonts w:ascii="Times New Roman" w:hAnsi="Times New Roman" w:cs="Times New Roman"/>
                <w:color w:val="000000"/>
                <w:shd w:val="clear" w:color="auto" w:fill="FFFFFF"/>
              </w:rPr>
            </w:pPr>
            <w:r w:rsidRPr="00A7281F">
              <w:rPr>
                <w:rFonts w:ascii="Times New Roman" w:hAnsi="Times New Roman" w:cs="Times New Roman"/>
                <w:color w:val="000000"/>
                <w:shd w:val="clear" w:color="auto" w:fill="FFFFFF"/>
              </w:rPr>
              <w:t>7.1.1.2.</w:t>
            </w:r>
          </w:p>
          <w:p w:rsidR="00A802A8" w:rsidRPr="00A7281F" w:rsidRDefault="00EF400F" w:rsidP="00A802A8">
            <w:pPr>
              <w:rPr>
                <w:rFonts w:ascii="Times New Roman" w:hAnsi="Times New Roman" w:cs="Times New Roman"/>
              </w:rPr>
            </w:pPr>
            <w:r w:rsidRPr="00A7281F">
              <w:rPr>
                <w:rFonts w:ascii="Times New Roman" w:hAnsi="Times New Roman" w:cs="Times New Roman"/>
                <w:color w:val="000000"/>
                <w:shd w:val="clear" w:color="auto" w:fill="FFFFFF"/>
              </w:rPr>
              <w:t>Мөнгө угаах болон терроризмыг санхүүжүүлэхтэй тэмцэх тогтолцоог боловсронгуй болгох</w:t>
            </w:r>
          </w:p>
        </w:tc>
        <w:tc>
          <w:tcPr>
            <w:tcW w:w="709" w:type="dxa"/>
          </w:tcPr>
          <w:p w:rsidR="00A802A8" w:rsidRPr="00A7281F" w:rsidRDefault="00EF400F" w:rsidP="00EF400F">
            <w:pPr>
              <w:jc w:val="center"/>
              <w:rPr>
                <w:rFonts w:ascii="Times New Roman" w:hAnsi="Times New Roman" w:cs="Times New Roman"/>
                <w:lang w:val="mn-MN"/>
              </w:rPr>
            </w:pPr>
            <w:r w:rsidRPr="00A7281F">
              <w:rPr>
                <w:rFonts w:ascii="Times New Roman" w:hAnsi="Times New Roman" w:cs="Times New Roman"/>
                <w:lang w:val="mn-MN"/>
              </w:rPr>
              <w:t>1 жил</w:t>
            </w:r>
          </w:p>
        </w:tc>
        <w:tc>
          <w:tcPr>
            <w:tcW w:w="992" w:type="dxa"/>
          </w:tcPr>
          <w:p w:rsidR="00A802A8" w:rsidRPr="00A7281F" w:rsidRDefault="00DB330F" w:rsidP="00EF400F">
            <w:pPr>
              <w:jc w:val="center"/>
              <w:rPr>
                <w:rFonts w:ascii="Times New Roman" w:hAnsi="Times New Roman" w:cs="Times New Roman"/>
              </w:rPr>
            </w:pPr>
            <w:r w:rsidRPr="00A7281F">
              <w:rPr>
                <w:rFonts w:ascii="Times New Roman" w:hAnsi="Times New Roman" w:cs="Times New Roman"/>
                <w:lang w:val="mn-MN"/>
              </w:rPr>
              <w:t>СЗХ</w:t>
            </w:r>
          </w:p>
        </w:tc>
        <w:tc>
          <w:tcPr>
            <w:tcW w:w="850" w:type="dxa"/>
          </w:tcPr>
          <w:p w:rsidR="00A802A8" w:rsidRPr="00A7281F" w:rsidRDefault="00EF400F" w:rsidP="00EF400F">
            <w:pPr>
              <w:jc w:val="center"/>
              <w:rPr>
                <w:rFonts w:ascii="Times New Roman" w:hAnsi="Times New Roman" w:cs="Times New Roman"/>
                <w:lang w:val="mn-MN"/>
              </w:rPr>
            </w:pPr>
            <w:r w:rsidRPr="00A7281F">
              <w:rPr>
                <w:rFonts w:ascii="Times New Roman" w:hAnsi="Times New Roman" w:cs="Times New Roman"/>
                <w:lang w:val="mn-MN"/>
              </w:rPr>
              <w:t>Улсын төсөв</w:t>
            </w:r>
          </w:p>
        </w:tc>
        <w:tc>
          <w:tcPr>
            <w:tcW w:w="993" w:type="dxa"/>
          </w:tcPr>
          <w:p w:rsidR="00A802A8" w:rsidRPr="00A7281F" w:rsidRDefault="00EF400F" w:rsidP="00EF400F">
            <w:pPr>
              <w:jc w:val="center"/>
              <w:rPr>
                <w:rFonts w:ascii="Times New Roman" w:hAnsi="Times New Roman" w:cs="Times New Roman"/>
                <w:lang w:val="mn-MN"/>
              </w:rPr>
            </w:pPr>
            <w:r w:rsidRPr="00A7281F">
              <w:rPr>
                <w:rFonts w:ascii="Times New Roman" w:hAnsi="Times New Roman" w:cs="Times New Roman"/>
                <w:lang w:val="mn-MN"/>
              </w:rPr>
              <w:t>40.00</w:t>
            </w:r>
          </w:p>
        </w:tc>
        <w:tc>
          <w:tcPr>
            <w:tcW w:w="992" w:type="dxa"/>
          </w:tcPr>
          <w:p w:rsidR="00A802A8" w:rsidRPr="00A7281F" w:rsidRDefault="00EF400F" w:rsidP="00EF400F">
            <w:pPr>
              <w:jc w:val="center"/>
              <w:rPr>
                <w:rFonts w:ascii="Times New Roman" w:hAnsi="Times New Roman" w:cs="Times New Roman"/>
                <w:lang w:val="mn-MN"/>
              </w:rPr>
            </w:pPr>
            <w:r w:rsidRPr="00A7281F">
              <w:rPr>
                <w:rFonts w:ascii="Times New Roman" w:hAnsi="Times New Roman" w:cs="Times New Roman"/>
                <w:lang w:val="mn-MN"/>
              </w:rPr>
              <w:t>39</w:t>
            </w:r>
          </w:p>
        </w:tc>
        <w:tc>
          <w:tcPr>
            <w:tcW w:w="1417" w:type="dxa"/>
            <w:gridSpan w:val="3"/>
          </w:tcPr>
          <w:p w:rsidR="00A802A8" w:rsidRPr="00A7281F" w:rsidRDefault="00EF400F" w:rsidP="00EF400F">
            <w:pPr>
              <w:jc w:val="center"/>
              <w:rPr>
                <w:rFonts w:ascii="Times New Roman" w:hAnsi="Times New Roman" w:cs="Times New Roman"/>
                <w:lang w:val="mn-MN"/>
              </w:rPr>
            </w:pPr>
            <w:r w:rsidRPr="00A7281F">
              <w:rPr>
                <w:rFonts w:ascii="Times New Roman" w:hAnsi="Times New Roman" w:cs="Times New Roman"/>
                <w:lang w:val="mn-MN"/>
              </w:rPr>
              <w:t>40</w:t>
            </w:r>
          </w:p>
        </w:tc>
        <w:tc>
          <w:tcPr>
            <w:tcW w:w="3828" w:type="dxa"/>
          </w:tcPr>
          <w:p w:rsidR="0034079B" w:rsidRPr="00255618" w:rsidRDefault="0034079B" w:rsidP="0034079B">
            <w:pPr>
              <w:jc w:val="both"/>
              <w:rPr>
                <w:rFonts w:ascii="Times New Roman" w:eastAsia="SimSun" w:hAnsi="Times New Roman" w:cs="Times New Roman"/>
                <w:color w:val="000000" w:themeColor="text1"/>
                <w:lang w:val="mn-MN" w:eastAsia="zh-CN"/>
              </w:rPr>
            </w:pPr>
            <w:r w:rsidRPr="00255618">
              <w:rPr>
                <w:rFonts w:ascii="Times New Roman" w:eastAsia="SimSun" w:hAnsi="Times New Roman" w:cs="Times New Roman"/>
                <w:color w:val="000000" w:themeColor="text1"/>
                <w:lang w:val="mn-MN" w:eastAsia="zh-CN"/>
              </w:rPr>
              <w:t xml:space="preserve">Зүүн Европ, Төв Азийн Авлигын эсрэг сүлжээний Истанбулын Авлигатай тэмцэх үйл ажиллагааны төлөвлөгөөний 5 дугаар шатны мониторингийн хүрээнд МУТСТ чиглэлийн тайлбаруудыг тухай бүр хүргүүлж, биетээр болон цахимаар хамгаалалтад оролцов.  </w:t>
            </w:r>
          </w:p>
          <w:p w:rsidR="0034079B" w:rsidRDefault="0034079B" w:rsidP="0034079B">
            <w:pPr>
              <w:jc w:val="both"/>
              <w:rPr>
                <w:rFonts w:ascii="Times New Roman" w:hAnsi="Times New Roman" w:cs="Times New Roman"/>
                <w:b/>
                <w:bCs/>
                <w:color w:val="000000"/>
                <w:shd w:val="clear" w:color="auto" w:fill="FFFFFF"/>
              </w:rPr>
            </w:pPr>
            <w:r w:rsidRPr="00255618">
              <w:rPr>
                <w:rFonts w:ascii="Times New Roman" w:hAnsi="Times New Roman" w:cs="Times New Roman"/>
                <w:lang w:val="mn-MN"/>
              </w:rPr>
              <w:t>Авлигын эсрэг үйл ажиллагааны төлөвлөгөөний хүрээнд Мөнгө угаахтай тэмцэх албанаас 2024 оны хагас жилд авч хэрэгжүүлсэн ажлын биелэлтийг хүргүүлсэн.</w:t>
            </w:r>
          </w:p>
          <w:p w:rsidR="0034079B" w:rsidRPr="0034079B" w:rsidRDefault="0034079B" w:rsidP="00A036A4">
            <w:pPr>
              <w:jc w:val="both"/>
              <w:rPr>
                <w:rFonts w:ascii="Times New Roman" w:eastAsia="Courier New" w:hAnsi="Times New Roman"/>
                <w:b/>
                <w:bCs/>
                <w:szCs w:val="28"/>
                <w:lang w:val="mn-MN" w:eastAsia="zh-CN" w:bidi="mn-Mong-CN"/>
              </w:rPr>
            </w:pPr>
            <w:r w:rsidRPr="0034079B">
              <w:rPr>
                <w:rFonts w:ascii="Times New Roman" w:hAnsi="Times New Roman" w:cs="Times New Roman"/>
                <w:b/>
                <w:bCs/>
                <w:color w:val="000000"/>
                <w:shd w:val="clear" w:color="auto" w:fill="FFFFFF"/>
              </w:rPr>
              <w:t>АХ-4.3.16-</w:t>
            </w:r>
            <w:r w:rsidRPr="0034079B">
              <w:rPr>
                <w:rFonts w:ascii="Times New Roman" w:hAnsi="Times New Roman"/>
                <w:b/>
                <w:bCs/>
                <w:color w:val="000000"/>
                <w:szCs w:val="28"/>
                <w:shd w:val="clear" w:color="auto" w:fill="FFFFFF"/>
                <w:lang w:val="mn-MN" w:bidi="mn-Mong-CN"/>
              </w:rPr>
              <w:t>н хүрээнд:</w:t>
            </w:r>
          </w:p>
          <w:p w:rsidR="00A036A4" w:rsidRPr="00255618" w:rsidRDefault="0034079B" w:rsidP="00A036A4">
            <w:pPr>
              <w:jc w:val="both"/>
              <w:rPr>
                <w:rFonts w:ascii="Times New Roman" w:eastAsia="Courier New" w:hAnsi="Times New Roman" w:cs="Times New Roman"/>
                <w:lang w:val="mn-MN" w:eastAsia="zh-CN"/>
              </w:rPr>
            </w:pPr>
            <w:r>
              <w:rPr>
                <w:rFonts w:ascii="Times New Roman" w:eastAsia="Courier New" w:hAnsi="Times New Roman" w:cs="Times New Roman"/>
                <w:lang w:eastAsia="zh-CN"/>
              </w:rPr>
              <w:t>1</w:t>
            </w:r>
            <w:r w:rsidR="00A036A4" w:rsidRPr="00255618">
              <w:rPr>
                <w:rFonts w:ascii="Times New Roman" w:eastAsia="Courier New" w:hAnsi="Times New Roman" w:cs="Times New Roman"/>
                <w:lang w:val="mn-MN" w:eastAsia="zh-CN"/>
              </w:rPr>
              <w:t>.</w:t>
            </w:r>
            <w:r w:rsidR="00A036A4">
              <w:rPr>
                <w:rFonts w:ascii="Times New Roman" w:eastAsia="Courier New" w:hAnsi="Times New Roman" w:cs="Times New Roman"/>
                <w:lang w:val="mn-MN" w:eastAsia="zh-CN"/>
              </w:rPr>
              <w:t xml:space="preserve"> </w:t>
            </w:r>
            <w:r w:rsidR="00A036A4" w:rsidRPr="00255618">
              <w:rPr>
                <w:rFonts w:ascii="Times New Roman" w:eastAsia="Courier New" w:hAnsi="Times New Roman" w:cs="Times New Roman"/>
                <w:lang w:val="mn-MN" w:eastAsia="zh-CN"/>
              </w:rPr>
              <w:t>Монгол Улсын 2024 оны Явцын тайланд мөнгө угаах, терроризмыг санхүүжүүлэхтэй тэмцэх Хорооны чиг үүрэгт хамаарах тайлан мэдээг боловсруулж Монголбанкны дэргэдэх Санхүүгийн мэдээллийн албанд хүргүүлж нэгтгүүлсэн.</w:t>
            </w:r>
          </w:p>
          <w:p w:rsidR="00A036A4" w:rsidRPr="00255618" w:rsidRDefault="00A036A4" w:rsidP="00A036A4">
            <w:pPr>
              <w:jc w:val="both"/>
              <w:rPr>
                <w:rFonts w:ascii="Times New Roman" w:eastAsia="Times New Roman" w:hAnsi="Times New Roman" w:cs="Times New Roman"/>
                <w:lang w:val="mn-MN" w:eastAsia="zh-CN"/>
              </w:rPr>
            </w:pPr>
            <w:r w:rsidRPr="00255618">
              <w:rPr>
                <w:rFonts w:ascii="Times New Roman" w:eastAsia="Times New Roman" w:hAnsi="Times New Roman" w:cs="Times New Roman"/>
                <w:lang w:val="mn-MN" w:eastAsia="zh-CN"/>
              </w:rPr>
              <w:lastRenderedPageBreak/>
              <w:t>2.</w:t>
            </w:r>
            <w:r>
              <w:rPr>
                <w:rFonts w:ascii="Times New Roman" w:eastAsia="Times New Roman" w:hAnsi="Times New Roman" w:cs="Times New Roman"/>
                <w:lang w:val="mn-MN" w:eastAsia="zh-CN"/>
              </w:rPr>
              <w:t xml:space="preserve"> </w:t>
            </w:r>
            <w:r w:rsidRPr="00255618">
              <w:rPr>
                <w:rFonts w:ascii="Times New Roman" w:eastAsia="Courier New" w:hAnsi="Times New Roman" w:cs="Times New Roman"/>
                <w:lang w:val="mn-MN" w:eastAsia="zh-CN"/>
              </w:rPr>
              <w:t>Евро-Азийн Мөнгө угаахтай тэмцэх бүлэг (ЕАМУТБ)-ээс ирүүлсэн хүсэлтийн дагуу мөнгө угаах суурь гэмт хэргийг илрүүлэхтэй холбоотой типологийг боловсруулж 2024 оны 02 дугаар сарын 01-ний өдөр хүргүүлсэн.</w:t>
            </w:r>
          </w:p>
          <w:p w:rsidR="00A036A4" w:rsidRPr="00255618" w:rsidRDefault="00A036A4" w:rsidP="00A036A4">
            <w:pPr>
              <w:jc w:val="both"/>
              <w:rPr>
                <w:rFonts w:ascii="Times New Roman" w:eastAsia="Times New Roman" w:hAnsi="Times New Roman" w:cs="Times New Roman"/>
                <w:lang w:val="mn-MN" w:eastAsia="zh-CN"/>
              </w:rPr>
            </w:pPr>
            <w:r w:rsidRPr="00255618">
              <w:rPr>
                <w:rFonts w:ascii="Times New Roman" w:eastAsia="Courier New" w:hAnsi="Times New Roman" w:cs="Times New Roman"/>
                <w:lang w:val="mn-MN" w:eastAsia="zh-CN"/>
              </w:rPr>
              <w:t>3.</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Санхүүгийн хориг арга хэмжээ авах байгууллага (ФАТФ)-аас зохион байгуулсан “Терроризмыг санхүүжүүлэхтэй холбоотой краудфандинг” цахим вебинарт  хамрагдсан.</w:t>
            </w:r>
          </w:p>
          <w:p w:rsidR="00A036A4" w:rsidRPr="00255618" w:rsidRDefault="00A036A4" w:rsidP="00A036A4">
            <w:pPr>
              <w:jc w:val="both"/>
              <w:rPr>
                <w:rFonts w:ascii="Times New Roman" w:eastAsia="Times New Roman" w:hAnsi="Times New Roman" w:cs="Times New Roman"/>
                <w:lang w:val="mn-MN" w:eastAsia="zh-CN"/>
              </w:rPr>
            </w:pPr>
            <w:r w:rsidRPr="00255618">
              <w:rPr>
                <w:rFonts w:ascii="Times New Roman" w:eastAsia="Courier New" w:hAnsi="Times New Roman" w:cs="Times New Roman"/>
                <w:lang w:val="mn-MN" w:eastAsia="zh-CN"/>
              </w:rPr>
              <w:t>4.</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Олон улсын эрүүгийн цагдаагийн байгууллага (Interpol)-оос зохион байгуулсан виртуал хөрөнгө болон цахим орчинтой холбоотой сертификат олгох цахим сургалтын вебинарт 3 албан хаагч хамрагдсан.</w:t>
            </w:r>
          </w:p>
          <w:p w:rsidR="00A036A4" w:rsidRPr="00255618" w:rsidRDefault="00A036A4" w:rsidP="00A036A4">
            <w:pPr>
              <w:jc w:val="both"/>
              <w:rPr>
                <w:rFonts w:ascii="Times New Roman" w:eastAsia="Times New Roman" w:hAnsi="Times New Roman" w:cs="Times New Roman"/>
                <w:lang w:val="mn-MN" w:eastAsia="zh-CN"/>
              </w:rPr>
            </w:pPr>
            <w:r w:rsidRPr="00255618">
              <w:rPr>
                <w:rFonts w:ascii="Times New Roman" w:eastAsia="Courier New" w:hAnsi="Times New Roman" w:cs="Times New Roman"/>
                <w:lang w:val="mn-MN" w:eastAsia="zh-CN"/>
              </w:rPr>
              <w:t>5.</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ФАТФ-аас ирүүлсэн асуулгын дагуу Монгол Улсаас МУТС өндөр эрсдэлтэй улс орнууд (Хойд Солонгос, Иран, Мьянмар) болон стратегийн дутагдалтай улс орнуудтай холбоотой авч хэрэгжүүлж буй арга хэмжээний талаарх мэдээллийг бэлтгэж хүргүүлсэн.</w:t>
            </w:r>
          </w:p>
          <w:p w:rsidR="00A036A4" w:rsidRPr="00255618" w:rsidRDefault="00A036A4" w:rsidP="00A036A4">
            <w:pPr>
              <w:jc w:val="both"/>
              <w:rPr>
                <w:rFonts w:ascii="Times New Roman" w:eastAsia="Times New Roman" w:hAnsi="Times New Roman" w:cs="Times New Roman"/>
                <w:lang w:val="mn-MN" w:eastAsia="zh-CN"/>
              </w:rPr>
            </w:pPr>
            <w:r w:rsidRPr="00255618">
              <w:rPr>
                <w:rFonts w:ascii="Times New Roman" w:eastAsia="Courier New" w:hAnsi="Times New Roman" w:cs="Times New Roman"/>
                <w:lang w:val="mn-MN" w:eastAsia="zh-CN"/>
              </w:rPr>
              <w:t>6.</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ЕАМУТБ-ийн хэлэлцээрийн 8 дугаар зүйлд заасантай холбоотой холбогдох мэдээллийг ирүүлсэн загварын дагуу бэлтгэн 2024 оны 03 дугаар сарын 12-ны өдөр хүргүүлсэн.</w:t>
            </w:r>
          </w:p>
          <w:p w:rsidR="00A036A4" w:rsidRDefault="00A036A4" w:rsidP="00A036A4">
            <w:pPr>
              <w:jc w:val="both"/>
              <w:rPr>
                <w:rFonts w:ascii="Times New Roman" w:eastAsia="Courier New" w:hAnsi="Times New Roman" w:cs="Times New Roman"/>
                <w:lang w:val="mn-MN" w:eastAsia="zh-CN"/>
              </w:rPr>
            </w:pPr>
            <w:r w:rsidRPr="00255618">
              <w:rPr>
                <w:rFonts w:ascii="Times New Roman" w:eastAsia="Courier New" w:hAnsi="Times New Roman" w:cs="Times New Roman"/>
                <w:lang w:val="mn-MN" w:eastAsia="zh-CN"/>
              </w:rPr>
              <w:t>7.</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ФАТФ-аас өөрийн бүс нутгийн байгууллагуудаас авч буй Зөвлөмж 15-ын хэрэгжилт болон “Travel Rule”-тэй холбоотой судалгаанд холбогдох хариуг бэлтгэн хүргүүлсэн.</w:t>
            </w:r>
          </w:p>
          <w:p w:rsidR="00A036A4" w:rsidRPr="00255618" w:rsidRDefault="00A036A4" w:rsidP="00A036A4">
            <w:pPr>
              <w:jc w:val="both"/>
              <w:rPr>
                <w:rFonts w:ascii="Times New Roman" w:eastAsia="Times New Roman" w:hAnsi="Times New Roman" w:cs="Times New Roman"/>
                <w:lang w:val="mn-MN" w:eastAsia="zh-CN"/>
              </w:rPr>
            </w:pPr>
            <w:r>
              <w:rPr>
                <w:rFonts w:ascii="Times New Roman" w:eastAsia="Courier New" w:hAnsi="Times New Roman" w:cs="Times New Roman"/>
                <w:lang w:val="mn-MN" w:eastAsia="zh-CN"/>
              </w:rPr>
              <w:lastRenderedPageBreak/>
              <w:t>8.</w:t>
            </w:r>
            <w:r w:rsidRPr="00255618">
              <w:rPr>
                <w:rFonts w:ascii="Times New Roman" w:eastAsia="Courier New" w:hAnsi="Times New Roman" w:cs="Times New Roman"/>
                <w:lang w:val="mn-MN" w:eastAsia="zh-CN"/>
              </w:rPr>
              <w:t>Санхүүгийн хүртээмжийн нийгэмлэгээс зохион байгуулсан "ФАТФ-ын саарал жагсаалт болон санхүүгийн хүртээмжийн зорилгыг хамгаалах нь" сэдэвт вебинарт панелистаар оролцож, бусад улс орнуудтай туршлага хуваалцсан.</w:t>
            </w:r>
          </w:p>
          <w:p w:rsidR="00A036A4" w:rsidRPr="00255618" w:rsidRDefault="00A036A4" w:rsidP="00A036A4">
            <w:pPr>
              <w:jc w:val="both"/>
              <w:rPr>
                <w:rFonts w:ascii="Times New Roman" w:eastAsia="Courier New" w:hAnsi="Times New Roman" w:cs="Times New Roman"/>
                <w:lang w:val="mn-MN" w:eastAsia="zh-CN"/>
              </w:rPr>
            </w:pPr>
            <w:r w:rsidRPr="00255618">
              <w:rPr>
                <w:rFonts w:ascii="Times New Roman" w:eastAsia="Courier New" w:hAnsi="Times New Roman" w:cs="Times New Roman"/>
                <w:lang w:val="mn-MN" w:eastAsia="zh-CN"/>
              </w:rPr>
              <w:t>9.</w:t>
            </w:r>
            <w:r>
              <w:rPr>
                <w:rFonts w:ascii="Times New Roman" w:eastAsia="Courier New" w:hAnsi="Times New Roman" w:cs="Times New Roman"/>
                <w:lang w:val="mn-MN" w:eastAsia="zh-CN"/>
              </w:rPr>
              <w:t xml:space="preserve"> </w:t>
            </w:r>
            <w:r w:rsidRPr="00255618">
              <w:rPr>
                <w:rFonts w:ascii="Times New Roman" w:eastAsia="Courier New" w:hAnsi="Times New Roman" w:cs="Times New Roman"/>
                <w:lang w:val="mn-MN" w:eastAsia="zh-CN"/>
              </w:rPr>
              <w:t>IOSCO-оос зохион байгуулсан ВХ, ВХҮҮ-ийн чиглэлийн 2 өдрийн вебинарт цахимаар оролцож мэдээлэл авсан.</w:t>
            </w:r>
          </w:p>
          <w:p w:rsidR="00A036A4" w:rsidRPr="00255618" w:rsidRDefault="00A036A4" w:rsidP="00A036A4">
            <w:pPr>
              <w:jc w:val="both"/>
              <w:rPr>
                <w:rFonts w:ascii="Times New Roman" w:hAnsi="Times New Roman" w:cs="Times New Roman"/>
                <w:lang w:val="mn-MN"/>
              </w:rPr>
            </w:pPr>
            <w:r w:rsidRPr="00255618">
              <w:rPr>
                <w:rFonts w:ascii="Times New Roman" w:eastAsia="Courier New" w:hAnsi="Times New Roman" w:cs="Times New Roman"/>
                <w:lang w:val="mn-MN" w:eastAsia="zh-CN"/>
              </w:rPr>
              <w:t>10.</w:t>
            </w:r>
            <w:r w:rsidRPr="00255618">
              <w:rPr>
                <w:rFonts w:ascii="Times New Roman" w:hAnsi="Times New Roman" w:cs="Times New Roman"/>
                <w:lang w:val="mn-MN"/>
              </w:rPr>
              <w:t xml:space="preserve"> </w:t>
            </w:r>
            <w:r w:rsidRPr="00255618">
              <w:rPr>
                <w:rFonts w:ascii="Times New Roman" w:eastAsia="Times New Roman" w:hAnsi="Times New Roman" w:cs="Times New Roman"/>
                <w:lang w:val="mn"/>
              </w:rPr>
              <w:t>2024 оны 06 дугаар сарын 30-ны өдрөөс 07 дугаар сарын 06-ны өдрүүдэд ФАТФ-ын Олон улсын хамтын ажиллагааны хяналтын бүлэг (ОУХАХБ буюу ICRG)-ээс зохион байгуулж буй ICRG-гийн үнэлгээчний сургалтад хамрагдсан.</w:t>
            </w:r>
          </w:p>
          <w:p w:rsidR="00A036A4" w:rsidRPr="00255618" w:rsidRDefault="00A036A4" w:rsidP="00A036A4">
            <w:pPr>
              <w:jc w:val="both"/>
              <w:rPr>
                <w:rFonts w:ascii="Times New Roman" w:hAnsi="Times New Roman" w:cs="Times New Roman"/>
                <w:lang w:val="mn-MN"/>
              </w:rPr>
            </w:pPr>
            <w:r w:rsidRPr="00255618">
              <w:rPr>
                <w:rFonts w:ascii="Times New Roman" w:eastAsia="Times New Roman" w:hAnsi="Times New Roman" w:cs="Times New Roman"/>
                <w:lang w:val="mn-MN"/>
              </w:rPr>
              <w:t>11.</w:t>
            </w:r>
            <w:r>
              <w:rPr>
                <w:rFonts w:ascii="Times New Roman" w:eastAsia="Times New Roman" w:hAnsi="Times New Roman" w:cs="Times New Roman"/>
                <w:lang w:val="mn-MN"/>
              </w:rPr>
              <w:t xml:space="preserve"> </w:t>
            </w:r>
            <w:r w:rsidRPr="00255618">
              <w:rPr>
                <w:rFonts w:ascii="Times New Roman" w:hAnsi="Times New Roman" w:cs="Times New Roman"/>
                <w:lang w:val="mn-MN"/>
              </w:rPr>
              <w:t>Ази номхон далайн мөнгө угаахтай тэмцэх бүлэг (АНДМУТБ)-ийн жилийн хурал 2024 оны 09 дүгээр сарын 22-ноос 27-ны өдрүүдэд АНЭУ-ын Дубай хотноо зохион байгуулагдсан бөгөөд тус хуралд Монгол Улсыг төлөөлөн оролцох багийг Санхүүгийн зохицуулах хорооноос ахлан, амжилттай оролцож, “Виртуал хөрөнгийн үйлчилгээ үзүүлэгчийн салбарын хяналт” сэдвээр илтгэл тавин, туршлага хуваалцав.</w:t>
            </w:r>
          </w:p>
          <w:p w:rsidR="00A036A4" w:rsidRDefault="00A036A4" w:rsidP="00A036A4">
            <w:pPr>
              <w:jc w:val="both"/>
              <w:rPr>
                <w:rFonts w:ascii="Times New Roman" w:eastAsia="SimSun" w:hAnsi="Times New Roman" w:cs="Times New Roman"/>
                <w:color w:val="000000" w:themeColor="text1"/>
                <w:lang w:val="mn-MN" w:eastAsia="zh-CN"/>
              </w:rPr>
            </w:pPr>
            <w:r w:rsidRPr="00255618">
              <w:rPr>
                <w:rFonts w:ascii="Times New Roman" w:hAnsi="Times New Roman" w:cs="Times New Roman"/>
                <w:lang w:val="mn-MN"/>
              </w:rPr>
              <w:t>12.</w:t>
            </w:r>
            <w:r>
              <w:rPr>
                <w:rFonts w:ascii="Times New Roman" w:hAnsi="Times New Roman" w:cs="Times New Roman"/>
                <w:lang w:val="mn-MN"/>
              </w:rPr>
              <w:t xml:space="preserve"> </w:t>
            </w:r>
            <w:r w:rsidRPr="00255618">
              <w:rPr>
                <w:rFonts w:ascii="Times New Roman" w:hAnsi="Times New Roman" w:cs="Times New Roman"/>
                <w:lang w:val="mn-MN"/>
              </w:rPr>
              <w:t xml:space="preserve">АНДМУТБ-ээс Тайвань Улсын Тайбэй хотноо 2024 оны 10 дугаар сарын 21-ний өдрөөс 25-ны өдрийн хооронд зохион байгуулсан олон </w:t>
            </w:r>
            <w:r w:rsidRPr="00255618">
              <w:rPr>
                <w:rFonts w:ascii="Times New Roman" w:hAnsi="Times New Roman" w:cs="Times New Roman"/>
                <w:lang w:val="mn-MN"/>
              </w:rPr>
              <w:lastRenderedPageBreak/>
              <w:t>улсын үнэлгээчин бэлтгэх сургалтад МУТА-ны албан хаагч хамрагдсан.</w:t>
            </w:r>
            <w:r w:rsidRPr="00255618">
              <w:rPr>
                <w:rFonts w:ascii="Times New Roman" w:eastAsia="SimSun" w:hAnsi="Times New Roman" w:cs="Times New Roman"/>
                <w:color w:val="000000" w:themeColor="text1"/>
                <w:lang w:val="mn-MN" w:eastAsia="zh-CN"/>
              </w:rPr>
              <w:t xml:space="preserve"> </w:t>
            </w:r>
          </w:p>
          <w:p w:rsidR="0034079B" w:rsidRPr="00255618" w:rsidRDefault="0034079B" w:rsidP="0034079B">
            <w:pPr>
              <w:jc w:val="both"/>
              <w:rPr>
                <w:rFonts w:ascii="Times New Roman" w:eastAsia="Times New Roman" w:hAnsi="Times New Roman" w:cs="Times New Roman"/>
                <w:lang w:val="mn-MN"/>
              </w:rPr>
            </w:pPr>
            <w:r w:rsidRPr="00255618">
              <w:rPr>
                <w:rFonts w:ascii="Times New Roman" w:eastAsia="SimSun" w:hAnsi="Times New Roman" w:cs="Times New Roman"/>
                <w:color w:val="000000" w:themeColor="text1"/>
                <w:lang w:val="mn-MN" w:eastAsia="zh-CN"/>
              </w:rPr>
              <w:t>13.</w:t>
            </w:r>
            <w:r>
              <w:rPr>
                <w:rFonts w:ascii="Times New Roman" w:eastAsia="SimSun" w:hAnsi="Times New Roman" w:cs="Times New Roman"/>
                <w:color w:val="000000" w:themeColor="text1"/>
                <w:lang w:val="mn-MN" w:eastAsia="zh-CN"/>
              </w:rPr>
              <w:t xml:space="preserve"> </w:t>
            </w:r>
            <w:r w:rsidRPr="00255618">
              <w:rPr>
                <w:rFonts w:ascii="Times New Roman" w:eastAsia="Times New Roman" w:hAnsi="Times New Roman" w:cs="Times New Roman"/>
                <w:lang w:val="mn-MN"/>
              </w:rPr>
              <w:t xml:space="preserve">ФАТФ-ын Виртуал Хөрөнгийн Харилцаа Холбооны Бүлэг (Virtual Asset Contact Group (VACG)-т Ази, Номхон далайн бүс нутгийн төлөөллийг хэрэгжүүлэхээр нийт 42 орноос сонгогдон ажиллаж байна. </w:t>
            </w:r>
          </w:p>
          <w:p w:rsidR="0034079B" w:rsidRPr="00255618" w:rsidRDefault="0034079B" w:rsidP="0034079B">
            <w:pPr>
              <w:jc w:val="both"/>
              <w:rPr>
                <w:rFonts w:ascii="Times New Roman" w:hAnsi="Times New Roman" w:cs="Times New Roman"/>
                <w:lang w:val="mn-MN"/>
              </w:rPr>
            </w:pPr>
            <w:r w:rsidRPr="00255618">
              <w:rPr>
                <w:rFonts w:ascii="Times New Roman" w:eastAsia="Times New Roman" w:hAnsi="Times New Roman" w:cs="Times New Roman"/>
                <w:lang w:val="mn-MN"/>
              </w:rPr>
              <w:t>14.</w:t>
            </w:r>
            <w:r w:rsidRPr="00255618">
              <w:rPr>
                <w:rFonts w:ascii="Times New Roman" w:hAnsi="Times New Roman" w:cs="Times New Roman"/>
                <w:lang w:val="mn-MN"/>
              </w:rPr>
              <w:t>Австрали улсын санхүүгийн мэдээллийн байгууллага (AUSTRAC)-аас зохион байгуулсан олон улсын МУТСТ чиглэлийн хянан шалгагч нарын дугуй ширээний уулзалтад оролцсон бөгөөд тус уулзалтад Канад, Англи, АНУ зэрэг томоохон улсуудаас бүрдсэн нийт 14 улсын хянан шалгагчид оролцож өөрсдийн мэдлэг, туршлагаас хуваалцав.</w:t>
            </w:r>
          </w:p>
          <w:p w:rsidR="0034079B" w:rsidRDefault="0034079B" w:rsidP="0034079B">
            <w:pPr>
              <w:jc w:val="both"/>
              <w:rPr>
                <w:rFonts w:ascii="Times New Roman" w:eastAsia="Times New Roman" w:hAnsi="Times New Roman" w:cs="Times New Roman"/>
                <w:color w:val="000000" w:themeColor="text1"/>
                <w:lang w:val="mn-MN" w:eastAsia="zh-CN"/>
              </w:rPr>
            </w:pPr>
            <w:r w:rsidRPr="00255618">
              <w:rPr>
                <w:rFonts w:ascii="Times New Roman" w:hAnsi="Times New Roman" w:cs="Times New Roman"/>
                <w:lang w:val="mn-MN"/>
              </w:rPr>
              <w:t>15.</w:t>
            </w:r>
            <w:r w:rsidRPr="00255618">
              <w:rPr>
                <w:rFonts w:ascii="Times New Roman" w:eastAsia="Times New Roman" w:hAnsi="Times New Roman" w:cs="Times New Roman"/>
                <w:color w:val="000000" w:themeColor="text1"/>
                <w:lang w:val="mn-MN" w:eastAsia="zh-CN"/>
              </w:rPr>
              <w:t xml:space="preserve"> ЕСБХБ-наас зохион байгуулсан Төв Азийн МУТСТ экспертийн ажлын хэсгийн уулзалтад оролцож мэдээлэл харилцан солилцож ажиллав. </w:t>
            </w:r>
          </w:p>
          <w:p w:rsidR="0034079B" w:rsidRPr="0034079B" w:rsidRDefault="0034079B" w:rsidP="0034079B">
            <w:pPr>
              <w:jc w:val="both"/>
              <w:rPr>
                <w:rFonts w:ascii="Times New Roman" w:eastAsia="Times New Roman" w:hAnsi="Times New Roman" w:cs="Times New Roman"/>
                <w:b/>
                <w:bCs/>
                <w:color w:val="000000" w:themeColor="text1"/>
                <w:lang w:val="mn-MN" w:eastAsia="zh-CN"/>
              </w:rPr>
            </w:pPr>
            <w:r w:rsidRPr="0034079B">
              <w:rPr>
                <w:rFonts w:ascii="Times New Roman" w:hAnsi="Times New Roman" w:cs="Times New Roman"/>
                <w:b/>
                <w:bCs/>
                <w:color w:val="000000"/>
                <w:shd w:val="clear" w:color="auto" w:fill="FFFFFF"/>
              </w:rPr>
              <w:t>МУХТЖҮЧ-5.6.2</w:t>
            </w:r>
            <w:r w:rsidRPr="0034079B">
              <w:rPr>
                <w:rFonts w:ascii="Times New Roman" w:hAnsi="Times New Roman" w:cs="Times New Roman"/>
                <w:b/>
                <w:bCs/>
                <w:color w:val="000000"/>
                <w:shd w:val="clear" w:color="auto" w:fill="FFFFFF"/>
                <w:lang w:val="mn-MN"/>
              </w:rPr>
              <w:t xml:space="preserve"> -н хүрээнд:</w:t>
            </w:r>
          </w:p>
          <w:p w:rsidR="0034079B" w:rsidRPr="00255618" w:rsidRDefault="0034079B" w:rsidP="0034079B">
            <w:pPr>
              <w:jc w:val="both"/>
              <w:rPr>
                <w:rFonts w:ascii="Times New Roman" w:hAnsi="Times New Roman" w:cs="Times New Roman"/>
                <w:lang w:val="mn-MN"/>
              </w:rPr>
            </w:pPr>
            <w:r w:rsidRPr="00255618">
              <w:rPr>
                <w:rFonts w:ascii="Times New Roman" w:hAnsi="Times New Roman" w:cs="Times New Roman"/>
                <w:lang w:val="mn-MN" w:eastAsia="zh-CN"/>
              </w:rPr>
              <w:t>1.</w:t>
            </w:r>
            <w:r>
              <w:rPr>
                <w:rFonts w:ascii="Times New Roman" w:hAnsi="Times New Roman" w:cs="Times New Roman"/>
                <w:lang w:val="mn-MN" w:eastAsia="zh-CN"/>
              </w:rPr>
              <w:t xml:space="preserve"> </w:t>
            </w:r>
            <w:r w:rsidRPr="00255618">
              <w:rPr>
                <w:rFonts w:ascii="Times New Roman" w:hAnsi="Times New Roman" w:cs="Times New Roman"/>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журам”-ын дагуу 2024 оны эхний хагас жилийн “Мөнгө угаах болон терроризмыг санхүүжүүлэх, үй олноор хөнөөх зэвсэг дэлгэрүүлэх эрсдэлийн үнэлгээний асуулга”-ыг авч, үр дүнг тооцсон дэлгэрэнгүй тайланг боловсруул</w:t>
            </w:r>
            <w:r>
              <w:rPr>
                <w:rFonts w:ascii="Times New Roman" w:hAnsi="Times New Roman" w:cs="Times New Roman"/>
                <w:lang w:val="mn-MN"/>
              </w:rPr>
              <w:t>сан.</w:t>
            </w:r>
          </w:p>
          <w:p w:rsidR="0034079B" w:rsidRPr="00255618" w:rsidRDefault="0034079B" w:rsidP="0034079B">
            <w:pPr>
              <w:jc w:val="both"/>
              <w:rPr>
                <w:rFonts w:ascii="Times New Roman" w:hAnsi="Times New Roman" w:cs="Times New Roman"/>
                <w:lang w:val="mn-MN"/>
              </w:rPr>
            </w:pPr>
            <w:r w:rsidRPr="00255618">
              <w:rPr>
                <w:rFonts w:ascii="Times New Roman" w:hAnsi="Times New Roman" w:cs="Times New Roman"/>
                <w:lang w:val="mn-MN"/>
              </w:rPr>
              <w:lastRenderedPageBreak/>
              <w:t>2.</w:t>
            </w:r>
            <w:r>
              <w:rPr>
                <w:rFonts w:ascii="Times New Roman" w:hAnsi="Times New Roman" w:cs="Times New Roman"/>
                <w:lang w:val="mn-MN"/>
              </w:rPr>
              <w:t xml:space="preserve"> </w:t>
            </w:r>
            <w:r w:rsidRPr="00255618">
              <w:rPr>
                <w:rFonts w:ascii="Times New Roman" w:hAnsi="Times New Roman" w:cs="Times New Roman"/>
                <w:lang w:val="mn-MN"/>
              </w:rPr>
              <w:t>МУТСТ чиглэлээр нэгдсэн статистикийг бүрдүүлэх хүрээнд батлагдсан маягтын дагуу улирал тутмын статистик мэдээг бэлтгэ</w:t>
            </w:r>
            <w:r>
              <w:rPr>
                <w:rFonts w:ascii="Times New Roman" w:hAnsi="Times New Roman" w:cs="Times New Roman"/>
                <w:lang w:val="mn-MN"/>
              </w:rPr>
              <w:t>сэн</w:t>
            </w:r>
            <w:r w:rsidRPr="00255618">
              <w:rPr>
                <w:rFonts w:ascii="Times New Roman" w:hAnsi="Times New Roman" w:cs="Times New Roman"/>
                <w:lang w:val="mn-MN"/>
              </w:rPr>
              <w:t>.</w:t>
            </w:r>
          </w:p>
          <w:p w:rsidR="0034079B" w:rsidRPr="00255618" w:rsidRDefault="0034079B" w:rsidP="0034079B">
            <w:pPr>
              <w:jc w:val="both"/>
              <w:rPr>
                <w:rFonts w:ascii="Times New Roman" w:hAnsi="Times New Roman" w:cs="Times New Roman"/>
                <w:lang w:val="mn-MN"/>
              </w:rPr>
            </w:pPr>
            <w:r w:rsidRPr="00255618">
              <w:rPr>
                <w:rFonts w:ascii="Times New Roman" w:eastAsia="SimSun" w:hAnsi="Times New Roman" w:cs="Times New Roman"/>
                <w:lang w:val="mn-MN" w:eastAsia="zh-CN"/>
              </w:rPr>
              <w:t>3.</w:t>
            </w:r>
            <w:r>
              <w:rPr>
                <w:rFonts w:ascii="Times New Roman" w:eastAsia="SimSun" w:hAnsi="Times New Roman" w:cs="Times New Roman"/>
                <w:lang w:val="mn-MN" w:eastAsia="zh-CN"/>
              </w:rPr>
              <w:t xml:space="preserve"> </w:t>
            </w:r>
            <w:r w:rsidRPr="00255618">
              <w:rPr>
                <w:rFonts w:ascii="Times New Roman" w:hAnsi="Times New Roman" w:cs="Times New Roman"/>
                <w:lang w:val="mn-MN"/>
              </w:rPr>
              <w:t>МУТС гэмт хэрэгтэй тэмцэх, урьдчилан сэргийлэх арга хэмжээг үр дүнтэй хэрэгжүүлэх хүрээнд Монголбанк, Тагнуулын ерөнхий газар, Цагдаагийн ерөнхий газартай 2024-2025 онд хамтран ажиллах дөрвөлсөн төлөвлөгөөг боловсруулан, баталсан ба холбогдох</w:t>
            </w:r>
            <w:r w:rsidRPr="00255618">
              <w:rPr>
                <w:rFonts w:ascii="Times New Roman" w:eastAsia="SimSun" w:hAnsi="Times New Roman" w:cs="Times New Roman"/>
                <w:lang w:val="mn-MN" w:eastAsia="zh-CN"/>
              </w:rPr>
              <w:t xml:space="preserve"> уулзалтыг 2024 оны 10 дугаар сарын 22-ны өдөр зохион байгуулж мэдээлэл солилцож, төлөвлөгөөний хэрэгжилттэй холбоотой асуудлуудыг хэлэлцсэн.</w:t>
            </w:r>
          </w:p>
          <w:p w:rsidR="0034079B" w:rsidRPr="00255618" w:rsidRDefault="0034079B" w:rsidP="0034079B">
            <w:pPr>
              <w:jc w:val="both"/>
              <w:rPr>
                <w:rFonts w:ascii="Times New Roman" w:eastAsia="Times New Roman" w:hAnsi="Times New Roman" w:cs="Times New Roman"/>
                <w:lang w:val="mn-MN" w:eastAsia="zh-CN"/>
              </w:rPr>
            </w:pPr>
            <w:r w:rsidRPr="00255618">
              <w:rPr>
                <w:rFonts w:ascii="Times New Roman" w:eastAsia="Times New Roman" w:hAnsi="Times New Roman" w:cs="Times New Roman"/>
                <w:lang w:val="mn-MN" w:eastAsia="zh-CN"/>
              </w:rPr>
              <w:t>4.</w:t>
            </w:r>
            <w:r>
              <w:rPr>
                <w:rFonts w:ascii="Times New Roman" w:eastAsia="Times New Roman" w:hAnsi="Times New Roman" w:cs="Times New Roman"/>
                <w:lang w:val="mn-MN" w:eastAsia="zh-CN"/>
              </w:rPr>
              <w:t xml:space="preserve"> </w:t>
            </w:r>
            <w:r w:rsidRPr="00255618">
              <w:rPr>
                <w:rFonts w:ascii="Times New Roman" w:eastAsia="Times New Roman" w:hAnsi="Times New Roman" w:cs="Times New Roman"/>
                <w:lang w:val="mn-MN" w:eastAsia="zh-CN"/>
              </w:rPr>
              <w:t>МУТСТ Үндэсний зөвлөлийн дарга бөгөөд Хууль зүй, дотоод хэргийн сайдын  2023</w:t>
            </w:r>
            <w:r>
              <w:rPr>
                <w:rFonts w:ascii="Times New Roman" w:eastAsia="Times New Roman" w:hAnsi="Times New Roman" w:cs="Times New Roman"/>
                <w:lang w:val="mn-MN" w:eastAsia="zh-CN"/>
              </w:rPr>
              <w:t xml:space="preserve"> оны </w:t>
            </w:r>
            <w:r w:rsidRPr="00255618">
              <w:rPr>
                <w:rFonts w:ascii="Times New Roman" w:eastAsia="Times New Roman" w:hAnsi="Times New Roman" w:cs="Times New Roman"/>
                <w:lang w:val="mn-MN" w:eastAsia="zh-CN"/>
              </w:rPr>
              <w:t>11</w:t>
            </w:r>
            <w:r>
              <w:rPr>
                <w:rFonts w:ascii="Times New Roman" w:eastAsia="Times New Roman" w:hAnsi="Times New Roman" w:cs="Times New Roman"/>
                <w:lang w:val="mn-MN" w:eastAsia="zh-CN"/>
              </w:rPr>
              <w:t xml:space="preserve"> дүгээр сарын </w:t>
            </w:r>
            <w:r w:rsidRPr="00255618">
              <w:rPr>
                <w:rFonts w:ascii="Times New Roman" w:eastAsia="Times New Roman" w:hAnsi="Times New Roman" w:cs="Times New Roman"/>
                <w:lang w:val="mn-MN" w:eastAsia="zh-CN"/>
              </w:rPr>
              <w:t>09-ний өдрийн А/384 тоот тушаалаар “Мөнгөн зээлийн үйлчилгээ үзүүлэгчдийн эрсдэлийн үнэлгээ хийж гүйцэтгэх ажлын хэсэг”-ийг ахалж ажилласан. Мөн олон улсын харьцуулсан судалгаа болон дотоод орчны судалгааг хийж гүйцэтгэх зөвлөх үйлчилгээний сонгон шалгаруулалтыг зарлаж, холбогдох байгууллагатай гэрээ байгуулж, хамтран ажилласан. Уг ажлын хүрээнд судалгааны тайланг хүлээн авч, 2024 оны 12 дугаар сарын 17-ны өдөр ажлын хэсэгт танилцуулга хийж ажиллав.</w:t>
            </w:r>
          </w:p>
          <w:p w:rsidR="0034079B" w:rsidRPr="00255618" w:rsidRDefault="0034079B" w:rsidP="0034079B">
            <w:pPr>
              <w:jc w:val="both"/>
              <w:rPr>
                <w:rFonts w:ascii="Times New Roman" w:hAnsi="Times New Roman" w:cs="Times New Roman"/>
                <w:lang w:val="mn-MN"/>
              </w:rPr>
            </w:pPr>
            <w:r>
              <w:rPr>
                <w:rFonts w:ascii="Times New Roman" w:eastAsia="Times New Roman" w:hAnsi="Times New Roman" w:cs="Times New Roman"/>
                <w:lang w:val="mn-MN" w:eastAsia="zh-CN"/>
              </w:rPr>
              <w:t>5</w:t>
            </w:r>
            <w:r w:rsidRPr="00255618">
              <w:rPr>
                <w:rFonts w:ascii="Times New Roman" w:eastAsia="Times New Roman" w:hAnsi="Times New Roman" w:cs="Times New Roman"/>
                <w:lang w:val="mn-MN" w:eastAsia="zh-CN"/>
              </w:rPr>
              <w:t>.</w:t>
            </w:r>
            <w:r>
              <w:rPr>
                <w:rFonts w:ascii="Times New Roman" w:eastAsia="Times New Roman" w:hAnsi="Times New Roman" w:cs="Times New Roman"/>
                <w:lang w:val="mn-MN" w:eastAsia="zh-CN"/>
              </w:rPr>
              <w:t xml:space="preserve"> </w:t>
            </w:r>
            <w:r w:rsidRPr="00255618">
              <w:rPr>
                <w:rFonts w:ascii="Times New Roman" w:eastAsia="Times New Roman" w:hAnsi="Times New Roman" w:cs="Times New Roman"/>
                <w:lang w:val="mn-MN" w:eastAsia="zh-CN"/>
              </w:rPr>
              <w:t xml:space="preserve">МУТСТ Үндэсний зөвлөлийн дарга бөгөөд Хууль зүй, дотоод хэргийн </w:t>
            </w:r>
            <w:r w:rsidRPr="00255618">
              <w:rPr>
                <w:rFonts w:ascii="Times New Roman" w:eastAsia="Times New Roman" w:hAnsi="Times New Roman" w:cs="Times New Roman"/>
                <w:lang w:val="mn-MN" w:eastAsia="zh-CN"/>
              </w:rPr>
              <w:lastRenderedPageBreak/>
              <w:t>сайдын 2023 оны 11 дүгээр сарын 20-ны өдрийн А/396 дугаар тушаалаар Трастын эрсдэлийн үнэлгээг гүйцэтгэх ажлын хэсгийг байгуулсан. Энэ хүрээнд трастын үйлчилгээ үзүүлэгчийн суурь судалгааг гүйцэтгэхтэй</w:t>
            </w:r>
            <w:r>
              <w:rPr>
                <w:rFonts w:ascii="Times New Roman" w:eastAsia="Times New Roman" w:hAnsi="Times New Roman" w:cs="Times New Roman"/>
                <w:lang w:eastAsia="zh-CN"/>
              </w:rPr>
              <w:t xml:space="preserve"> </w:t>
            </w:r>
            <w:r w:rsidRPr="00255618">
              <w:rPr>
                <w:rFonts w:ascii="Times New Roman" w:eastAsia="Times New Roman" w:hAnsi="Times New Roman" w:cs="Times New Roman"/>
                <w:lang w:val="mn-MN" w:eastAsia="zh-CN"/>
              </w:rPr>
              <w:t>холбоотойгоор холбогдох байгууллагатай хамтран ажиллах гэрээг байгуулж, суурь судалгааг гүйцэтгэх, дата мэдээлэл цуглуулахтай холбоотой уулзалтыг зохион байгуулж ажиллав. Түүнчлэн трастын суурь судалгааны ажлыг хүлээн авсан ба энэхүү суурь мэдээлэлд үндэслэн траст болон компанийн үйлчилгээ үзүүлэгчийн мөнгө угаах, терроризмыг санхүүжүүлэх эрсдэлийг тодорхойлж, үнэлэн холбогдох үр дүнгийн тайланг боловсруулж, 2024 оны 12 дугаар сарын 17-ны өдөр ажлын хэсэгт танилцуулга хийж ажиллав.</w:t>
            </w:r>
          </w:p>
          <w:p w:rsidR="0034079B" w:rsidRPr="00255618" w:rsidRDefault="0034079B" w:rsidP="0034079B">
            <w:pPr>
              <w:jc w:val="both"/>
              <w:rPr>
                <w:rFonts w:ascii="Times New Roman" w:hAnsi="Times New Roman" w:cs="Times New Roman"/>
                <w:lang w:val="mn-MN"/>
              </w:rPr>
            </w:pPr>
            <w:r>
              <w:rPr>
                <w:rFonts w:ascii="Times New Roman" w:eastAsia="Times New Roman" w:hAnsi="Times New Roman" w:cs="Times New Roman"/>
                <w:lang w:val="mn-MN" w:eastAsia="zh-CN"/>
              </w:rPr>
              <w:t>6</w:t>
            </w:r>
            <w:r w:rsidRPr="00255618">
              <w:rPr>
                <w:rFonts w:ascii="Times New Roman" w:eastAsia="Times New Roman" w:hAnsi="Times New Roman" w:cs="Times New Roman"/>
                <w:lang w:val="mn-MN" w:eastAsia="zh-CN"/>
              </w:rPr>
              <w:t>.</w:t>
            </w:r>
            <w:r>
              <w:rPr>
                <w:rFonts w:ascii="Times New Roman" w:eastAsia="Times New Roman" w:hAnsi="Times New Roman" w:cs="Times New Roman"/>
                <w:lang w:val="mn-MN" w:eastAsia="zh-CN"/>
              </w:rPr>
              <w:t xml:space="preserve"> </w:t>
            </w:r>
            <w:r w:rsidRPr="00255618">
              <w:rPr>
                <w:rFonts w:ascii="Times New Roman" w:eastAsia="Times New Roman" w:hAnsi="Times New Roman" w:cs="Times New Roman"/>
                <w:lang w:val="mn-MN" w:eastAsia="zh-CN"/>
              </w:rPr>
              <w:t>2023 оны 06 дугаар сарын 15-ны А/210 тоот тушаалаар батлагдсан “Хуулийн этгээдийг мөнгө угаах, терроризмыг санхүүжүүлэхэд ашиглахтай холбоотой эрсдэлийн үнэлгээг шинэчлэх ажлын хэсэг”-ийн хүрээнд Хороонд холбогдох ажлыг хийж гүйцэтгэсэн ба ажлын хэсгийн уулзалтуудад тухай бүр хамрагдсан.</w:t>
            </w:r>
          </w:p>
          <w:p w:rsidR="0034079B" w:rsidRPr="00255618" w:rsidRDefault="0034079B" w:rsidP="0034079B">
            <w:pPr>
              <w:jc w:val="both"/>
              <w:rPr>
                <w:rFonts w:ascii="Times New Roman" w:hAnsi="Times New Roman" w:cs="Times New Roman"/>
                <w:lang w:val="mn-MN"/>
              </w:rPr>
            </w:pPr>
            <w:r>
              <w:rPr>
                <w:rFonts w:ascii="Times New Roman" w:hAnsi="Times New Roman" w:cs="Times New Roman"/>
                <w:lang w:val="mn-MN"/>
              </w:rPr>
              <w:t>7</w:t>
            </w:r>
            <w:r w:rsidRPr="00255618">
              <w:rPr>
                <w:rFonts w:ascii="Times New Roman" w:hAnsi="Times New Roman" w:cs="Times New Roman"/>
                <w:lang w:val="mn-MN"/>
              </w:rPr>
              <w:t>.</w:t>
            </w:r>
            <w:r>
              <w:rPr>
                <w:rFonts w:ascii="Times New Roman" w:hAnsi="Times New Roman" w:cs="Times New Roman"/>
                <w:lang w:val="mn-MN"/>
              </w:rPr>
              <w:t xml:space="preserve"> </w:t>
            </w:r>
            <w:r w:rsidRPr="00255618">
              <w:rPr>
                <w:rFonts w:ascii="Times New Roman" w:eastAsia="Times New Roman" w:hAnsi="Times New Roman" w:cs="Times New Roman"/>
                <w:color w:val="000000" w:themeColor="text1"/>
                <w:lang w:val="mn-MN" w:eastAsia="zh-CN"/>
              </w:rPr>
              <w:t xml:space="preserve">OECD-ийн Глобал форумын ажлын албанаас нэмэлт, өөрчлөлт оруулах шаардлагатай гэж үзсэн 20 хууль, журмын холбогдох өөрчлөлтүүдэд санал боловсруулж, Сангийн яаманд </w:t>
            </w:r>
            <w:r w:rsidRPr="00255618">
              <w:rPr>
                <w:rFonts w:ascii="Times New Roman" w:eastAsia="Times New Roman" w:hAnsi="Times New Roman" w:cs="Times New Roman"/>
                <w:color w:val="000000" w:themeColor="text1"/>
                <w:lang w:val="mn-MN" w:eastAsia="zh-CN"/>
              </w:rPr>
              <w:lastRenderedPageBreak/>
              <w:t>2024 оны 10 дугаар сарын 17-нд хүргүүлэв.</w:t>
            </w:r>
          </w:p>
          <w:p w:rsidR="0034079B" w:rsidRDefault="0034079B" w:rsidP="0034079B">
            <w:pPr>
              <w:jc w:val="both"/>
              <w:rPr>
                <w:rFonts w:ascii="Times New Roman" w:eastAsia="Times New Roman" w:hAnsi="Times New Roman" w:cs="Times New Roman"/>
                <w:lang w:val="mn-MN"/>
              </w:rPr>
            </w:pPr>
            <w:r>
              <w:rPr>
                <w:rFonts w:ascii="Times New Roman" w:hAnsi="Times New Roman" w:cs="Times New Roman"/>
                <w:lang w:val="mn-MN"/>
              </w:rPr>
              <w:t>8</w:t>
            </w:r>
            <w:r w:rsidRPr="00255618">
              <w:rPr>
                <w:rFonts w:ascii="Times New Roman" w:hAnsi="Times New Roman" w:cs="Times New Roman"/>
                <w:lang w:val="mn-MN"/>
              </w:rPr>
              <w:t>.</w:t>
            </w:r>
            <w:r w:rsidRPr="00255618">
              <w:rPr>
                <w:rFonts w:ascii="Times New Roman" w:eastAsia="Times New Roman" w:hAnsi="Times New Roman" w:cs="Times New Roman"/>
                <w:lang w:val="mn-MN"/>
              </w:rPr>
              <w:t xml:space="preserve"> МУТСТ Хамтын ажиллагааны зөвлөлийн 3 удаагийн ээлжит болон 1 удаагийн ээлжит бус хуралд оролцож мэдээлэл солилцож ажилласан.</w:t>
            </w:r>
          </w:p>
          <w:p w:rsidR="00095DD1" w:rsidRPr="0034079B" w:rsidRDefault="0034079B" w:rsidP="005B2349">
            <w:pPr>
              <w:jc w:val="both"/>
              <w:rPr>
                <w:rFonts w:ascii="Times New Roman" w:eastAsia="Times New Roman" w:hAnsi="Times New Roman" w:cs="Times New Roman"/>
                <w:lang w:val="mn-MN" w:eastAsia="zh-CN"/>
              </w:rPr>
            </w:pPr>
            <w:r w:rsidRPr="00255618">
              <w:rPr>
                <w:rFonts w:ascii="Times New Roman" w:eastAsia="Times New Roman" w:hAnsi="Times New Roman" w:cs="Times New Roman"/>
                <w:lang w:val="mn-MN" w:eastAsia="zh-CN"/>
              </w:rPr>
              <w:t>Санхүүгийн зохицуулах хорооны авлигын эсрэг үйл ажиллагааны төлөвлөгөө"-нд МУТСТ чиглэлээр тусгагдсан ажлуудыг тухай бүр гүйцэтгэж, биелэлтийг гарган ажилласан.</w:t>
            </w:r>
          </w:p>
        </w:tc>
        <w:tc>
          <w:tcPr>
            <w:tcW w:w="708" w:type="dxa"/>
          </w:tcPr>
          <w:p w:rsidR="00A802A8" w:rsidRPr="00ED44B6" w:rsidRDefault="00A7073E" w:rsidP="00ED44B6">
            <w:pPr>
              <w:jc w:val="center"/>
              <w:rPr>
                <w:rFonts w:ascii="Times New Roman" w:hAnsi="Times New Roman" w:cs="Times New Roman"/>
                <w:lang w:val="mn-MN"/>
              </w:rPr>
            </w:pPr>
            <w:r>
              <w:rPr>
                <w:rFonts w:ascii="Times New Roman" w:hAnsi="Times New Roman" w:cs="Times New Roman"/>
                <w:lang w:val="mn-MN"/>
              </w:rPr>
              <w:lastRenderedPageBreak/>
              <w:t>100</w:t>
            </w:r>
          </w:p>
        </w:tc>
      </w:tr>
    </w:tbl>
    <w:p w:rsidR="00AA015E" w:rsidRDefault="00AA015E"/>
    <w:p w:rsidR="004F79AB" w:rsidRPr="006E3546" w:rsidRDefault="004F79AB"/>
    <w:sectPr w:rsidR="004F79AB" w:rsidRPr="006E3546" w:rsidSect="00AA01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B34"/>
    <w:multiLevelType w:val="hybridMultilevel"/>
    <w:tmpl w:val="B44C6C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973AE8"/>
    <w:multiLevelType w:val="hybridMultilevel"/>
    <w:tmpl w:val="53AC7C1E"/>
    <w:lvl w:ilvl="0" w:tplc="FD82F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E"/>
    <w:rsid w:val="0000007B"/>
    <w:rsid w:val="00005E3F"/>
    <w:rsid w:val="000517E5"/>
    <w:rsid w:val="00065CA0"/>
    <w:rsid w:val="0007789D"/>
    <w:rsid w:val="00095DD1"/>
    <w:rsid w:val="001217C8"/>
    <w:rsid w:val="00122EA7"/>
    <w:rsid w:val="00133DD5"/>
    <w:rsid w:val="00140A83"/>
    <w:rsid w:val="0016402D"/>
    <w:rsid w:val="00192349"/>
    <w:rsid w:val="001A3A50"/>
    <w:rsid w:val="001B5E90"/>
    <w:rsid w:val="001E2BE5"/>
    <w:rsid w:val="001E75FD"/>
    <w:rsid w:val="00216765"/>
    <w:rsid w:val="00241A16"/>
    <w:rsid w:val="00246F93"/>
    <w:rsid w:val="002525A3"/>
    <w:rsid w:val="002553F5"/>
    <w:rsid w:val="0026196A"/>
    <w:rsid w:val="00263B4B"/>
    <w:rsid w:val="0026744E"/>
    <w:rsid w:val="002958E0"/>
    <w:rsid w:val="002A25E1"/>
    <w:rsid w:val="002D08D3"/>
    <w:rsid w:val="002F37E3"/>
    <w:rsid w:val="00337029"/>
    <w:rsid w:val="0034079B"/>
    <w:rsid w:val="00366980"/>
    <w:rsid w:val="00393E55"/>
    <w:rsid w:val="003973AD"/>
    <w:rsid w:val="003D3B7A"/>
    <w:rsid w:val="00421B85"/>
    <w:rsid w:val="00424967"/>
    <w:rsid w:val="004378E8"/>
    <w:rsid w:val="0046381B"/>
    <w:rsid w:val="0048232C"/>
    <w:rsid w:val="00485753"/>
    <w:rsid w:val="00486287"/>
    <w:rsid w:val="004A41AB"/>
    <w:rsid w:val="004A467C"/>
    <w:rsid w:val="004B330A"/>
    <w:rsid w:val="004F79AB"/>
    <w:rsid w:val="00511ACF"/>
    <w:rsid w:val="00554915"/>
    <w:rsid w:val="00581EA7"/>
    <w:rsid w:val="005A2533"/>
    <w:rsid w:val="005B2349"/>
    <w:rsid w:val="005B58FA"/>
    <w:rsid w:val="005C3DCC"/>
    <w:rsid w:val="005D59BF"/>
    <w:rsid w:val="005E45E2"/>
    <w:rsid w:val="005E77F8"/>
    <w:rsid w:val="006027F9"/>
    <w:rsid w:val="00635074"/>
    <w:rsid w:val="006455E1"/>
    <w:rsid w:val="00682E83"/>
    <w:rsid w:val="006B6B45"/>
    <w:rsid w:val="006C4EA2"/>
    <w:rsid w:val="006D6B08"/>
    <w:rsid w:val="006D6B17"/>
    <w:rsid w:val="006E3546"/>
    <w:rsid w:val="006F2485"/>
    <w:rsid w:val="0071308B"/>
    <w:rsid w:val="00743FE2"/>
    <w:rsid w:val="007810D9"/>
    <w:rsid w:val="00796F3B"/>
    <w:rsid w:val="007B0A3D"/>
    <w:rsid w:val="008028CE"/>
    <w:rsid w:val="00803F1B"/>
    <w:rsid w:val="008507D4"/>
    <w:rsid w:val="00851BE3"/>
    <w:rsid w:val="008864C9"/>
    <w:rsid w:val="008A06A0"/>
    <w:rsid w:val="008D454D"/>
    <w:rsid w:val="008E744E"/>
    <w:rsid w:val="008F4B1F"/>
    <w:rsid w:val="009033C4"/>
    <w:rsid w:val="00961BE7"/>
    <w:rsid w:val="00970483"/>
    <w:rsid w:val="0097573D"/>
    <w:rsid w:val="00980398"/>
    <w:rsid w:val="009A1840"/>
    <w:rsid w:val="009A1DEB"/>
    <w:rsid w:val="009B11E6"/>
    <w:rsid w:val="009C14F1"/>
    <w:rsid w:val="009C2957"/>
    <w:rsid w:val="009C41F2"/>
    <w:rsid w:val="009D6B67"/>
    <w:rsid w:val="00A036A4"/>
    <w:rsid w:val="00A7073E"/>
    <w:rsid w:val="00A7281F"/>
    <w:rsid w:val="00A802A8"/>
    <w:rsid w:val="00A90F19"/>
    <w:rsid w:val="00AA015E"/>
    <w:rsid w:val="00AB55DF"/>
    <w:rsid w:val="00AE6710"/>
    <w:rsid w:val="00B31EE1"/>
    <w:rsid w:val="00B455F7"/>
    <w:rsid w:val="00B61190"/>
    <w:rsid w:val="00B718BB"/>
    <w:rsid w:val="00B71D2E"/>
    <w:rsid w:val="00B95FCC"/>
    <w:rsid w:val="00BB3057"/>
    <w:rsid w:val="00BB48EA"/>
    <w:rsid w:val="00BE2FA2"/>
    <w:rsid w:val="00C36D41"/>
    <w:rsid w:val="00C3764B"/>
    <w:rsid w:val="00C405E2"/>
    <w:rsid w:val="00C83527"/>
    <w:rsid w:val="00CA48C0"/>
    <w:rsid w:val="00D33A52"/>
    <w:rsid w:val="00D6249B"/>
    <w:rsid w:val="00D71B14"/>
    <w:rsid w:val="00D77397"/>
    <w:rsid w:val="00DB330F"/>
    <w:rsid w:val="00DD0085"/>
    <w:rsid w:val="00DD4885"/>
    <w:rsid w:val="00DD7E5E"/>
    <w:rsid w:val="00DE52A6"/>
    <w:rsid w:val="00DE752F"/>
    <w:rsid w:val="00DF2AC2"/>
    <w:rsid w:val="00DF4F08"/>
    <w:rsid w:val="00E42C67"/>
    <w:rsid w:val="00E43F61"/>
    <w:rsid w:val="00E92993"/>
    <w:rsid w:val="00EB1E5A"/>
    <w:rsid w:val="00ED44B6"/>
    <w:rsid w:val="00ED5855"/>
    <w:rsid w:val="00EF400F"/>
    <w:rsid w:val="00F626A8"/>
    <w:rsid w:val="00F669B7"/>
    <w:rsid w:val="00F70DA5"/>
    <w:rsid w:val="00F763FE"/>
    <w:rsid w:val="00F93879"/>
    <w:rsid w:val="00FB5A10"/>
    <w:rsid w:val="00FC3589"/>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3D3B"/>
  <w15:chartTrackingRefBased/>
  <w15:docId w15:val="{1DCB0371-2A16-4DB7-A6B6-9B0B1CB1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400F"/>
    <w:rPr>
      <w:b/>
      <w:bCs/>
    </w:rPr>
  </w:style>
  <w:style w:type="paragraph" w:styleId="ListParagraph">
    <w:name w:val="List Paragraph"/>
    <w:basedOn w:val="Normal"/>
    <w:uiPriority w:val="34"/>
    <w:qFormat/>
    <w:rsid w:val="00B455F7"/>
    <w:pPr>
      <w:ind w:left="720"/>
      <w:contextualSpacing/>
    </w:pPr>
  </w:style>
  <w:style w:type="character" w:customStyle="1" w:styleId="normaltextrun">
    <w:name w:val="normaltextrun"/>
    <w:basedOn w:val="DefaultParagraphFont"/>
    <w:rsid w:val="0026744E"/>
  </w:style>
  <w:style w:type="character" w:customStyle="1" w:styleId="eop">
    <w:name w:val="eop"/>
    <w:basedOn w:val="DefaultParagraphFont"/>
    <w:rsid w:val="0026744E"/>
  </w:style>
  <w:style w:type="paragraph" w:styleId="BalloonText">
    <w:name w:val="Balloon Text"/>
    <w:basedOn w:val="Normal"/>
    <w:link w:val="BalloonTextChar"/>
    <w:uiPriority w:val="99"/>
    <w:semiHidden/>
    <w:unhideWhenUsed/>
    <w:rsid w:val="001A3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7324">
      <w:bodyDiv w:val="1"/>
      <w:marLeft w:val="0"/>
      <w:marRight w:val="0"/>
      <w:marTop w:val="0"/>
      <w:marBottom w:val="0"/>
      <w:divBdr>
        <w:top w:val="none" w:sz="0" w:space="0" w:color="auto"/>
        <w:left w:val="none" w:sz="0" w:space="0" w:color="auto"/>
        <w:bottom w:val="none" w:sz="0" w:space="0" w:color="auto"/>
        <w:right w:val="none" w:sz="0" w:space="0" w:color="auto"/>
      </w:divBdr>
    </w:div>
    <w:div w:id="987242235">
      <w:bodyDiv w:val="1"/>
      <w:marLeft w:val="0"/>
      <w:marRight w:val="0"/>
      <w:marTop w:val="0"/>
      <w:marBottom w:val="0"/>
      <w:divBdr>
        <w:top w:val="none" w:sz="0" w:space="0" w:color="auto"/>
        <w:left w:val="none" w:sz="0" w:space="0" w:color="auto"/>
        <w:bottom w:val="none" w:sz="0" w:space="0" w:color="auto"/>
        <w:right w:val="none" w:sz="0" w:space="0" w:color="auto"/>
      </w:divBdr>
    </w:div>
    <w:div w:id="1070621357">
      <w:bodyDiv w:val="1"/>
      <w:marLeft w:val="0"/>
      <w:marRight w:val="0"/>
      <w:marTop w:val="0"/>
      <w:marBottom w:val="0"/>
      <w:divBdr>
        <w:top w:val="none" w:sz="0" w:space="0" w:color="auto"/>
        <w:left w:val="none" w:sz="0" w:space="0" w:color="auto"/>
        <w:bottom w:val="none" w:sz="0" w:space="0" w:color="auto"/>
        <w:right w:val="none" w:sz="0" w:space="0" w:color="auto"/>
      </w:divBdr>
    </w:div>
    <w:div w:id="1202285094">
      <w:bodyDiv w:val="1"/>
      <w:marLeft w:val="0"/>
      <w:marRight w:val="0"/>
      <w:marTop w:val="0"/>
      <w:marBottom w:val="0"/>
      <w:divBdr>
        <w:top w:val="none" w:sz="0" w:space="0" w:color="auto"/>
        <w:left w:val="none" w:sz="0" w:space="0" w:color="auto"/>
        <w:bottom w:val="none" w:sz="0" w:space="0" w:color="auto"/>
        <w:right w:val="none" w:sz="0" w:space="0" w:color="auto"/>
      </w:divBdr>
    </w:div>
    <w:div w:id="1373530628">
      <w:bodyDiv w:val="1"/>
      <w:marLeft w:val="0"/>
      <w:marRight w:val="0"/>
      <w:marTop w:val="0"/>
      <w:marBottom w:val="0"/>
      <w:divBdr>
        <w:top w:val="none" w:sz="0" w:space="0" w:color="auto"/>
        <w:left w:val="none" w:sz="0" w:space="0" w:color="auto"/>
        <w:bottom w:val="none" w:sz="0" w:space="0" w:color="auto"/>
        <w:right w:val="none" w:sz="0" w:space="0" w:color="auto"/>
      </w:divBdr>
    </w:div>
    <w:div w:id="20295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14</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51</cp:revision>
  <cp:lastPrinted>2024-12-31T05:37:00Z</cp:lastPrinted>
  <dcterms:created xsi:type="dcterms:W3CDTF">2024-12-20T01:48:00Z</dcterms:created>
  <dcterms:modified xsi:type="dcterms:W3CDTF">2024-12-31T06:35:00Z</dcterms:modified>
</cp:coreProperties>
</file>