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3F2A" w14:textId="3502408A" w:rsidR="00802F3D" w:rsidRPr="00B14DE7" w:rsidRDefault="00802F3D" w:rsidP="00802F3D">
      <w:pPr>
        <w:spacing w:after="0" w:line="240" w:lineRule="auto"/>
        <w:jc w:val="right"/>
        <w:rPr>
          <w:rFonts w:ascii="Times New Roman" w:hAnsi="Times New Roman" w:cs="Times New Roman"/>
          <w:lang w:val="mn-MN"/>
        </w:rPr>
      </w:pPr>
      <w:r>
        <w:rPr>
          <w:rFonts w:ascii="Times New Roman" w:hAnsi="Times New Roman" w:cs="Times New Roman"/>
          <w:lang w:val="mn-MN"/>
        </w:rPr>
        <w:t xml:space="preserve"> </w:t>
      </w:r>
      <w:r w:rsidRPr="00B14DE7">
        <w:rPr>
          <w:rFonts w:ascii="Times New Roman" w:hAnsi="Times New Roman" w:cs="Times New Roman"/>
          <w:lang w:val="mn-MN"/>
        </w:rPr>
        <w:t>Санхүүгийн зохицуулах хорооны 202</w:t>
      </w:r>
      <w:r>
        <w:rPr>
          <w:rFonts w:ascii="Times New Roman" w:hAnsi="Times New Roman" w:cs="Times New Roman"/>
        </w:rPr>
        <w:t>5</w:t>
      </w:r>
      <w:r w:rsidRPr="00B14DE7">
        <w:rPr>
          <w:rFonts w:ascii="Times New Roman" w:hAnsi="Times New Roman" w:cs="Times New Roman"/>
          <w:lang w:val="mn-MN"/>
        </w:rPr>
        <w:t xml:space="preserve"> оны</w:t>
      </w:r>
    </w:p>
    <w:p w14:paraId="658BE82D" w14:textId="68C6FDC4" w:rsidR="00802F3D" w:rsidRPr="00B14DE7" w:rsidRDefault="00802F3D" w:rsidP="00802F3D">
      <w:pPr>
        <w:spacing w:after="0" w:line="240" w:lineRule="auto"/>
        <w:jc w:val="right"/>
        <w:rPr>
          <w:rFonts w:ascii="Times New Roman" w:hAnsi="Times New Roman" w:cs="Times New Roman"/>
          <w:lang w:val="mn-MN"/>
        </w:rPr>
      </w:pPr>
      <w:r w:rsidRPr="00B14DE7">
        <w:rPr>
          <w:rFonts w:ascii="Times New Roman" w:hAnsi="Times New Roman" w:cs="Times New Roman"/>
          <w:lang w:val="mn-MN"/>
        </w:rPr>
        <w:t xml:space="preserve"> </w:t>
      </w:r>
      <w:r>
        <w:rPr>
          <w:rFonts w:ascii="Times New Roman" w:hAnsi="Times New Roman" w:cs="Times New Roman"/>
          <w:lang w:val="mn-MN"/>
        </w:rPr>
        <w:t xml:space="preserve">12 </w:t>
      </w:r>
      <w:r w:rsidRPr="00B14DE7">
        <w:rPr>
          <w:rFonts w:ascii="Times New Roman" w:hAnsi="Times New Roman" w:cs="Times New Roman"/>
          <w:lang w:val="mn-MN"/>
        </w:rPr>
        <w:t>дугаар сарын</w:t>
      </w:r>
      <w:r>
        <w:rPr>
          <w:rFonts w:ascii="Times New Roman" w:hAnsi="Times New Roman" w:cs="Times New Roman"/>
          <w:lang w:val="mn-MN"/>
        </w:rPr>
        <w:t xml:space="preserve"> ......-н</w:t>
      </w:r>
      <w:r>
        <w:rPr>
          <w:rFonts w:ascii="Times New Roman" w:hAnsi="Times New Roman"/>
          <w:szCs w:val="28"/>
          <w:lang w:val="mn-MN" w:bidi="mn-Mong-CN"/>
        </w:rPr>
        <w:t>ы</w:t>
      </w:r>
      <w:r w:rsidRPr="00B14DE7">
        <w:rPr>
          <w:rFonts w:ascii="Times New Roman" w:hAnsi="Times New Roman" w:cs="Times New Roman"/>
          <w:lang w:val="mn-MN"/>
        </w:rPr>
        <w:t xml:space="preserve">  өдрийн...........</w:t>
      </w:r>
    </w:p>
    <w:p w14:paraId="4356EFD9" w14:textId="77777777" w:rsidR="00802F3D" w:rsidRDefault="00802F3D" w:rsidP="00802F3D">
      <w:pPr>
        <w:spacing w:after="0" w:line="240" w:lineRule="auto"/>
        <w:jc w:val="right"/>
        <w:rPr>
          <w:rFonts w:ascii="Times New Roman" w:hAnsi="Times New Roman" w:cs="Times New Roman"/>
          <w:lang w:val="mn-MN"/>
        </w:rPr>
      </w:pPr>
      <w:r w:rsidRPr="00B14DE7">
        <w:rPr>
          <w:rFonts w:ascii="Times New Roman" w:hAnsi="Times New Roman" w:cs="Times New Roman"/>
          <w:lang w:val="mn-MN"/>
        </w:rPr>
        <w:t xml:space="preserve">тоот албан бичгийн </w:t>
      </w:r>
      <w:r w:rsidRPr="00B14DE7">
        <w:rPr>
          <w:rFonts w:ascii="Times New Roman" w:hAnsi="Times New Roman" w:cs="Times New Roman"/>
          <w:lang w:val="mn-MN" w:bidi="mn-Mong-CN"/>
        </w:rPr>
        <w:t xml:space="preserve"> </w:t>
      </w:r>
      <w:r w:rsidRPr="00B14DE7">
        <w:rPr>
          <w:rFonts w:ascii="Times New Roman" w:hAnsi="Times New Roman" w:cs="Times New Roman"/>
          <w:lang w:val="mn-MN"/>
        </w:rPr>
        <w:t xml:space="preserve">хавсралт </w:t>
      </w:r>
    </w:p>
    <w:p w14:paraId="76CAC002" w14:textId="77777777" w:rsidR="00802F3D" w:rsidRDefault="00802F3D" w:rsidP="00802F3D">
      <w:pPr>
        <w:spacing w:after="0" w:line="240" w:lineRule="auto"/>
        <w:jc w:val="right"/>
        <w:rPr>
          <w:rFonts w:ascii="Times New Roman" w:hAnsi="Times New Roman" w:cs="Times New Roman"/>
          <w:lang w:val="mn-MN"/>
        </w:rPr>
      </w:pPr>
    </w:p>
    <w:p w14:paraId="44344783" w14:textId="77777777" w:rsidR="00802F3D" w:rsidRDefault="00802F3D" w:rsidP="00802F3D">
      <w:pPr>
        <w:spacing w:after="0"/>
        <w:jc w:val="right"/>
        <w:rPr>
          <w:rFonts w:ascii="Times New Roman" w:hAnsi="Times New Roman" w:cs="Times New Roman"/>
        </w:rPr>
      </w:pPr>
    </w:p>
    <w:p w14:paraId="251B95D1" w14:textId="3A8CBCD0" w:rsidR="00926FA9" w:rsidRPr="00926FA9" w:rsidRDefault="00926FA9" w:rsidP="00926FA9">
      <w:pPr>
        <w:spacing w:after="0"/>
        <w:jc w:val="center"/>
        <w:rPr>
          <w:rFonts w:ascii="Times New Roman" w:hAnsi="Times New Roman" w:cs="Times New Roman"/>
          <w:b/>
          <w:bCs/>
        </w:rPr>
      </w:pPr>
      <w:r w:rsidRPr="00926FA9">
        <w:rPr>
          <w:rFonts w:ascii="Times New Roman" w:hAnsi="Times New Roman" w:cs="Times New Roman"/>
          <w:b/>
          <w:bCs/>
        </w:rPr>
        <w:t xml:space="preserve">МОНГОЛ УЛСЫН ЗАСГИЙН ГАЗРЫН 2024-2028 ОНЫ ҮЙЛ АЖИЛЛАГААНЫ </w:t>
      </w:r>
    </w:p>
    <w:p w14:paraId="5FF4373C" w14:textId="1AE862CB" w:rsidR="00926FA9" w:rsidRPr="00926FA9" w:rsidRDefault="00926FA9" w:rsidP="00926FA9">
      <w:pPr>
        <w:spacing w:after="0" w:line="240" w:lineRule="auto"/>
        <w:jc w:val="center"/>
        <w:rPr>
          <w:rFonts w:ascii="Times New Roman" w:hAnsi="Times New Roman" w:cs="Times New Roman"/>
          <w:b/>
          <w:bCs/>
        </w:rPr>
      </w:pPr>
      <w:r w:rsidRPr="00926FA9">
        <w:rPr>
          <w:rFonts w:ascii="Times New Roman" w:hAnsi="Times New Roman" w:cs="Times New Roman"/>
          <w:b/>
          <w:bCs/>
        </w:rPr>
        <w:t>ХӨТӨЛБӨР</w:t>
      </w:r>
      <w:r w:rsidR="00C424D4">
        <w:rPr>
          <w:rFonts w:ascii="Times New Roman" w:hAnsi="Times New Roman" w:cs="Times New Roman"/>
          <w:b/>
          <w:bCs/>
        </w:rPr>
        <w:t xml:space="preserve">ИЙН 2025 ОНЫ ЖИЛИЙН ЭЦСИЙН ТАЙЛАН </w:t>
      </w:r>
    </w:p>
    <w:p w14:paraId="5DB7391C" w14:textId="597024D1" w:rsidR="00926FA9" w:rsidRPr="00926FA9" w:rsidRDefault="00926FA9" w:rsidP="00096F32">
      <w:pPr>
        <w:jc w:val="center"/>
        <w:rPr>
          <w:rFonts w:ascii="Times New Roman" w:hAnsi="Times New Roman" w:cs="Times New Roman"/>
        </w:rPr>
      </w:pPr>
      <w:r w:rsidRPr="00926FA9">
        <w:rPr>
          <w:rFonts w:ascii="Times New Roman" w:hAnsi="Times New Roman" w:cs="Times New Roman"/>
        </w:rPr>
        <w:t>/САНХҮҮГИЙН ЗОХИЦУУЛАХ ХОРОО /</w:t>
      </w:r>
    </w:p>
    <w:tbl>
      <w:tblPr>
        <w:tblStyle w:val="TableGrid"/>
        <w:tblW w:w="14176" w:type="dxa"/>
        <w:tblInd w:w="-431" w:type="dxa"/>
        <w:tblLayout w:type="fixed"/>
        <w:tblLook w:val="04A0" w:firstRow="1" w:lastRow="0" w:firstColumn="1" w:lastColumn="0" w:noHBand="0" w:noVBand="1"/>
      </w:tblPr>
      <w:tblGrid>
        <w:gridCol w:w="710"/>
        <w:gridCol w:w="1984"/>
        <w:gridCol w:w="1134"/>
        <w:gridCol w:w="1560"/>
        <w:gridCol w:w="4110"/>
        <w:gridCol w:w="1418"/>
        <w:gridCol w:w="1134"/>
        <w:gridCol w:w="1276"/>
        <w:gridCol w:w="850"/>
      </w:tblGrid>
      <w:tr w:rsidR="00802F3D" w:rsidRPr="00013EED" w14:paraId="47798EDD" w14:textId="57778DA2" w:rsidTr="00226922">
        <w:tc>
          <w:tcPr>
            <w:tcW w:w="710" w:type="dxa"/>
          </w:tcPr>
          <w:p w14:paraId="5916BC84" w14:textId="77777777" w:rsidR="00802F3D" w:rsidRPr="00013EED" w:rsidRDefault="00802F3D" w:rsidP="00FA07A7">
            <w:pPr>
              <w:jc w:val="center"/>
              <w:rPr>
                <w:rFonts w:ascii="Times New Roman" w:hAnsi="Times New Roman" w:cs="Times New Roman"/>
                <w:sz w:val="22"/>
                <w:szCs w:val="22"/>
              </w:rPr>
            </w:pPr>
            <w:r w:rsidRPr="00013EED">
              <w:rPr>
                <w:rFonts w:ascii="Times New Roman" w:hAnsi="Times New Roman" w:cs="Times New Roman"/>
                <w:sz w:val="22"/>
                <w:szCs w:val="22"/>
              </w:rPr>
              <w:t>Д/д</w:t>
            </w:r>
          </w:p>
          <w:p w14:paraId="584AE985" w14:textId="77777777" w:rsidR="00802F3D" w:rsidRPr="00013EED" w:rsidRDefault="00802F3D" w:rsidP="00FA07A7">
            <w:pPr>
              <w:jc w:val="center"/>
              <w:rPr>
                <w:rFonts w:ascii="Times New Roman" w:hAnsi="Times New Roman" w:cs="Times New Roman"/>
                <w:sz w:val="22"/>
                <w:szCs w:val="22"/>
              </w:rPr>
            </w:pPr>
          </w:p>
        </w:tc>
        <w:tc>
          <w:tcPr>
            <w:tcW w:w="1984" w:type="dxa"/>
          </w:tcPr>
          <w:p w14:paraId="4CED7DCA" w14:textId="77777777" w:rsidR="00802F3D" w:rsidRPr="00013EED" w:rsidRDefault="00802F3D" w:rsidP="00FA07A7">
            <w:pPr>
              <w:jc w:val="center"/>
              <w:rPr>
                <w:rFonts w:ascii="Times New Roman" w:hAnsi="Times New Roman" w:cs="Times New Roman"/>
                <w:sz w:val="22"/>
                <w:szCs w:val="22"/>
              </w:rPr>
            </w:pPr>
            <w:r w:rsidRPr="00013EED">
              <w:rPr>
                <w:rFonts w:ascii="Times New Roman" w:hAnsi="Times New Roman" w:cs="Times New Roman"/>
                <w:sz w:val="22"/>
                <w:szCs w:val="22"/>
              </w:rPr>
              <w:t>Шийдвэрийн нэр,</w:t>
            </w:r>
          </w:p>
          <w:p w14:paraId="4DFF8C7E" w14:textId="77777777" w:rsidR="00802F3D" w:rsidRPr="00013EED" w:rsidRDefault="00802F3D" w:rsidP="00FA07A7">
            <w:pPr>
              <w:jc w:val="center"/>
              <w:rPr>
                <w:rFonts w:ascii="Times New Roman" w:hAnsi="Times New Roman" w:cs="Times New Roman"/>
                <w:sz w:val="22"/>
                <w:szCs w:val="22"/>
              </w:rPr>
            </w:pPr>
            <w:r w:rsidRPr="00013EED">
              <w:rPr>
                <w:rFonts w:ascii="Times New Roman" w:hAnsi="Times New Roman" w:cs="Times New Roman"/>
                <w:sz w:val="22"/>
                <w:szCs w:val="22"/>
              </w:rPr>
              <w:t xml:space="preserve"> огноо</w:t>
            </w:r>
          </w:p>
        </w:tc>
        <w:tc>
          <w:tcPr>
            <w:tcW w:w="1134" w:type="dxa"/>
          </w:tcPr>
          <w:p w14:paraId="5FBD9D01" w14:textId="77777777" w:rsidR="00802F3D" w:rsidRPr="00013EED" w:rsidRDefault="00802F3D" w:rsidP="00FA07A7">
            <w:pPr>
              <w:jc w:val="center"/>
              <w:rPr>
                <w:rFonts w:ascii="Times New Roman" w:hAnsi="Times New Roman" w:cs="Times New Roman"/>
                <w:sz w:val="22"/>
                <w:szCs w:val="22"/>
              </w:rPr>
            </w:pPr>
            <w:r w:rsidRPr="00013EED">
              <w:rPr>
                <w:rFonts w:ascii="Times New Roman" w:hAnsi="Times New Roman" w:cs="Times New Roman"/>
                <w:sz w:val="22"/>
                <w:szCs w:val="22"/>
              </w:rPr>
              <w:t>Зүйл</w:t>
            </w:r>
          </w:p>
          <w:p w14:paraId="083D2A66" w14:textId="77777777" w:rsidR="00802F3D" w:rsidRPr="00013EED" w:rsidRDefault="00802F3D" w:rsidP="00FA07A7">
            <w:pPr>
              <w:jc w:val="center"/>
              <w:rPr>
                <w:rFonts w:ascii="Times New Roman" w:hAnsi="Times New Roman" w:cs="Times New Roman"/>
                <w:sz w:val="22"/>
                <w:szCs w:val="22"/>
              </w:rPr>
            </w:pPr>
            <w:r w:rsidRPr="00013EED">
              <w:rPr>
                <w:rFonts w:ascii="Times New Roman" w:hAnsi="Times New Roman" w:cs="Times New Roman"/>
                <w:sz w:val="22"/>
                <w:szCs w:val="22"/>
              </w:rPr>
              <w:t xml:space="preserve"> заалтын дугаар </w:t>
            </w:r>
          </w:p>
        </w:tc>
        <w:tc>
          <w:tcPr>
            <w:tcW w:w="1560" w:type="dxa"/>
          </w:tcPr>
          <w:p w14:paraId="2D904846" w14:textId="77777777" w:rsidR="00802F3D" w:rsidRPr="00013EED" w:rsidRDefault="00802F3D" w:rsidP="00FA07A7">
            <w:pPr>
              <w:jc w:val="center"/>
              <w:rPr>
                <w:rFonts w:ascii="Times New Roman" w:hAnsi="Times New Roman" w:cs="Times New Roman"/>
                <w:sz w:val="22"/>
                <w:szCs w:val="22"/>
              </w:rPr>
            </w:pPr>
            <w:r w:rsidRPr="00013EED">
              <w:rPr>
                <w:rFonts w:ascii="Times New Roman" w:hAnsi="Times New Roman" w:cs="Times New Roman"/>
                <w:sz w:val="22"/>
                <w:szCs w:val="22"/>
              </w:rPr>
              <w:t>Зүйл ,заалтын</w:t>
            </w:r>
          </w:p>
          <w:p w14:paraId="13316845" w14:textId="77777777" w:rsidR="00802F3D" w:rsidRPr="00013EED" w:rsidRDefault="00802F3D" w:rsidP="00FA07A7">
            <w:pPr>
              <w:jc w:val="center"/>
              <w:rPr>
                <w:rFonts w:ascii="Times New Roman" w:hAnsi="Times New Roman" w:cs="Times New Roman"/>
                <w:sz w:val="22"/>
                <w:szCs w:val="22"/>
              </w:rPr>
            </w:pPr>
            <w:r w:rsidRPr="00013EED">
              <w:rPr>
                <w:rFonts w:ascii="Times New Roman" w:hAnsi="Times New Roman" w:cs="Times New Roman"/>
                <w:sz w:val="22"/>
                <w:szCs w:val="22"/>
              </w:rPr>
              <w:t xml:space="preserve"> агуулга </w:t>
            </w:r>
          </w:p>
        </w:tc>
        <w:tc>
          <w:tcPr>
            <w:tcW w:w="4110" w:type="dxa"/>
          </w:tcPr>
          <w:p w14:paraId="6979D370" w14:textId="77777777" w:rsidR="00802F3D" w:rsidRPr="00013EED" w:rsidRDefault="00802F3D" w:rsidP="00FA07A7">
            <w:pPr>
              <w:jc w:val="center"/>
              <w:rPr>
                <w:rFonts w:ascii="Times New Roman" w:hAnsi="Times New Roman" w:cs="Times New Roman"/>
                <w:sz w:val="22"/>
                <w:szCs w:val="22"/>
              </w:rPr>
            </w:pPr>
            <w:r w:rsidRPr="00013EED">
              <w:rPr>
                <w:rFonts w:ascii="Times New Roman" w:hAnsi="Times New Roman" w:cs="Times New Roman"/>
                <w:sz w:val="22"/>
                <w:szCs w:val="22"/>
              </w:rPr>
              <w:t xml:space="preserve">Хэрэгжилтийн тайлан </w:t>
            </w:r>
          </w:p>
        </w:tc>
        <w:tc>
          <w:tcPr>
            <w:tcW w:w="1418" w:type="dxa"/>
            <w:tcBorders>
              <w:top w:val="outset" w:sz="6" w:space="0" w:color="auto"/>
              <w:left w:val="single" w:sz="6" w:space="0" w:color="808080"/>
              <w:bottom w:val="single" w:sz="12" w:space="0" w:color="808080"/>
              <w:right w:val="single" w:sz="6" w:space="0" w:color="808080"/>
            </w:tcBorders>
            <w:shd w:val="clear" w:color="auto" w:fill="FFFFFF"/>
          </w:tcPr>
          <w:p w14:paraId="01B16E9F" w14:textId="77777777" w:rsidR="00802F3D" w:rsidRPr="00013EED" w:rsidRDefault="00802F3D" w:rsidP="00FA07A7">
            <w:pPr>
              <w:pStyle w:val="NormalWeb"/>
              <w:spacing w:before="0" w:beforeAutospacing="0" w:after="0" w:afterAutospacing="0" w:line="330" w:lineRule="atLeast"/>
              <w:jc w:val="center"/>
              <w:rPr>
                <w:color w:val="333333"/>
                <w:sz w:val="22"/>
                <w:szCs w:val="22"/>
              </w:rPr>
            </w:pPr>
            <w:r w:rsidRPr="00013EED">
              <w:rPr>
                <w:color w:val="000000"/>
                <w:sz w:val="22"/>
                <w:szCs w:val="22"/>
              </w:rPr>
              <w:t>Хэрэгжил-тийн</w:t>
            </w:r>
          </w:p>
          <w:p w14:paraId="0EED71B4" w14:textId="77777777" w:rsidR="00802F3D" w:rsidRPr="00013EED" w:rsidRDefault="00802F3D" w:rsidP="00FA07A7">
            <w:pPr>
              <w:jc w:val="center"/>
              <w:rPr>
                <w:rFonts w:ascii="Times New Roman" w:hAnsi="Times New Roman" w:cs="Times New Roman"/>
                <w:sz w:val="22"/>
                <w:szCs w:val="22"/>
              </w:rPr>
            </w:pPr>
            <w:r w:rsidRPr="00013EED">
              <w:rPr>
                <w:rFonts w:ascii="Times New Roman" w:hAnsi="Times New Roman" w:cs="Times New Roman"/>
                <w:color w:val="000000"/>
                <w:sz w:val="22"/>
                <w:szCs w:val="22"/>
              </w:rPr>
              <w:t>хувь</w:t>
            </w:r>
          </w:p>
        </w:tc>
        <w:tc>
          <w:tcPr>
            <w:tcW w:w="1134" w:type="dxa"/>
            <w:tcBorders>
              <w:top w:val="outset" w:sz="6" w:space="0" w:color="auto"/>
              <w:left w:val="single" w:sz="6" w:space="0" w:color="808080"/>
              <w:bottom w:val="single" w:sz="12" w:space="0" w:color="808080"/>
              <w:right w:val="single" w:sz="6" w:space="0" w:color="808080"/>
            </w:tcBorders>
            <w:shd w:val="clear" w:color="auto" w:fill="FFFFFF"/>
          </w:tcPr>
          <w:p w14:paraId="462FB2C0" w14:textId="4C4568C5" w:rsidR="00802F3D" w:rsidRPr="00013EED" w:rsidRDefault="00802F3D" w:rsidP="00FA07A7">
            <w:pPr>
              <w:jc w:val="center"/>
              <w:rPr>
                <w:rFonts w:ascii="Times New Roman" w:hAnsi="Times New Roman" w:cs="Times New Roman"/>
                <w:sz w:val="22"/>
                <w:szCs w:val="22"/>
              </w:rPr>
            </w:pPr>
            <w:r w:rsidRPr="00013EED">
              <w:rPr>
                <w:rFonts w:ascii="Times New Roman" w:hAnsi="Times New Roman" w:cs="Times New Roman"/>
                <w:color w:val="000000"/>
                <w:sz w:val="22"/>
                <w:szCs w:val="22"/>
              </w:rPr>
              <w:t>Хэрэгжээ</w:t>
            </w:r>
            <w:r w:rsidR="00897C97">
              <w:rPr>
                <w:rFonts w:ascii="Times New Roman" w:hAnsi="Times New Roman" w:cs="Times New Roman"/>
                <w:color w:val="000000"/>
                <w:sz w:val="22"/>
                <w:szCs w:val="22"/>
              </w:rPr>
              <w:t>-</w:t>
            </w:r>
            <w:r w:rsidRPr="00013EED">
              <w:rPr>
                <w:rFonts w:ascii="Times New Roman" w:hAnsi="Times New Roman" w:cs="Times New Roman"/>
                <w:color w:val="000000"/>
                <w:sz w:val="22"/>
                <w:szCs w:val="22"/>
              </w:rPr>
              <w:t>гүй шалтгаан</w:t>
            </w:r>
          </w:p>
        </w:tc>
        <w:tc>
          <w:tcPr>
            <w:tcW w:w="1276" w:type="dxa"/>
            <w:tcBorders>
              <w:top w:val="outset" w:sz="6" w:space="0" w:color="auto"/>
              <w:left w:val="single" w:sz="6" w:space="0" w:color="808080"/>
              <w:bottom w:val="single" w:sz="12" w:space="0" w:color="808080"/>
              <w:right w:val="outset" w:sz="6" w:space="0" w:color="auto"/>
            </w:tcBorders>
            <w:shd w:val="clear" w:color="auto" w:fill="FFFFFF"/>
          </w:tcPr>
          <w:p w14:paraId="2EE94E9C" w14:textId="77777777" w:rsidR="00802F3D" w:rsidRPr="00013EED" w:rsidRDefault="00802F3D" w:rsidP="00FA07A7">
            <w:pPr>
              <w:jc w:val="center"/>
              <w:rPr>
                <w:rFonts w:ascii="Times New Roman" w:hAnsi="Times New Roman" w:cs="Times New Roman"/>
                <w:sz w:val="22"/>
                <w:szCs w:val="22"/>
              </w:rPr>
            </w:pPr>
            <w:r w:rsidRPr="00013EED">
              <w:rPr>
                <w:rFonts w:ascii="Times New Roman" w:hAnsi="Times New Roman" w:cs="Times New Roman"/>
                <w:color w:val="000000"/>
                <w:sz w:val="22"/>
                <w:szCs w:val="22"/>
              </w:rPr>
              <w:t>Хяналтаас хасах үндэслэл</w:t>
            </w:r>
          </w:p>
        </w:tc>
        <w:tc>
          <w:tcPr>
            <w:tcW w:w="850" w:type="dxa"/>
          </w:tcPr>
          <w:p w14:paraId="208170B2" w14:textId="1E66B3B2" w:rsidR="00802F3D" w:rsidRPr="00013EED" w:rsidRDefault="00802F3D" w:rsidP="00FA07A7">
            <w:pPr>
              <w:jc w:val="center"/>
              <w:rPr>
                <w:rFonts w:ascii="Times New Roman" w:hAnsi="Times New Roman" w:cs="Times New Roman"/>
                <w:color w:val="000000"/>
                <w:sz w:val="22"/>
                <w:szCs w:val="22"/>
              </w:rPr>
            </w:pPr>
            <w:r>
              <w:rPr>
                <w:rFonts w:ascii="Times New Roman" w:hAnsi="Times New Roman" w:cs="Times New Roman"/>
                <w:color w:val="000000"/>
                <w:sz w:val="22"/>
                <w:szCs w:val="22"/>
              </w:rPr>
              <w:t>ХШҮ</w:t>
            </w:r>
          </w:p>
        </w:tc>
      </w:tr>
      <w:tr w:rsidR="00802F3D" w:rsidRPr="00013EED" w14:paraId="4132E0E6" w14:textId="20CD2546" w:rsidTr="00226922">
        <w:tc>
          <w:tcPr>
            <w:tcW w:w="710" w:type="dxa"/>
            <w:vMerge w:val="restart"/>
          </w:tcPr>
          <w:p w14:paraId="1D6A861C" w14:textId="77777777" w:rsidR="00802F3D" w:rsidRPr="00013EED" w:rsidRDefault="00802F3D" w:rsidP="00FA07A7">
            <w:pPr>
              <w:jc w:val="center"/>
              <w:rPr>
                <w:rFonts w:ascii="Times New Roman" w:hAnsi="Times New Roman" w:cs="Times New Roman"/>
                <w:bCs/>
                <w:sz w:val="22"/>
                <w:szCs w:val="22"/>
              </w:rPr>
            </w:pPr>
            <w:r w:rsidRPr="00013EED">
              <w:rPr>
                <w:rFonts w:ascii="Times New Roman" w:hAnsi="Times New Roman" w:cs="Times New Roman"/>
                <w:bCs/>
                <w:sz w:val="22"/>
                <w:szCs w:val="22"/>
              </w:rPr>
              <w:t>1.</w:t>
            </w:r>
          </w:p>
        </w:tc>
        <w:tc>
          <w:tcPr>
            <w:tcW w:w="1984" w:type="dxa"/>
            <w:vMerge w:val="restart"/>
          </w:tcPr>
          <w:p w14:paraId="121D8118" w14:textId="77777777" w:rsidR="00802F3D" w:rsidRPr="00013EED" w:rsidRDefault="00802F3D" w:rsidP="00926FA9">
            <w:pPr>
              <w:jc w:val="center"/>
              <w:rPr>
                <w:rFonts w:ascii="Times New Roman" w:hAnsi="Times New Roman" w:cs="Times New Roman"/>
                <w:sz w:val="22"/>
                <w:szCs w:val="22"/>
                <w:lang w:bidi="mn-Mong-CN"/>
              </w:rPr>
            </w:pPr>
            <w:r w:rsidRPr="00013EED">
              <w:rPr>
                <w:rFonts w:ascii="Times New Roman" w:hAnsi="Times New Roman" w:cs="Times New Roman"/>
                <w:sz w:val="22"/>
                <w:szCs w:val="22"/>
                <w:lang w:bidi="mn-Mong-CN"/>
              </w:rPr>
              <w:t>Засгийн газрын 2024-2028 үйл ажиллагааны хөтөлбөр</w:t>
            </w:r>
          </w:p>
          <w:p w14:paraId="445A954B" w14:textId="77777777" w:rsidR="00802F3D" w:rsidRPr="00013EED" w:rsidRDefault="00802F3D" w:rsidP="00926FA9">
            <w:pPr>
              <w:jc w:val="center"/>
              <w:rPr>
                <w:rFonts w:ascii="Times New Roman" w:hAnsi="Times New Roman" w:cs="Times New Roman"/>
                <w:sz w:val="22"/>
                <w:szCs w:val="22"/>
                <w:lang w:bidi="mn-Mong-CN"/>
              </w:rPr>
            </w:pPr>
            <w:r w:rsidRPr="00013EED">
              <w:rPr>
                <w:rFonts w:ascii="Times New Roman" w:hAnsi="Times New Roman" w:cs="Times New Roman"/>
                <w:sz w:val="22"/>
                <w:szCs w:val="22"/>
                <w:lang w:bidi="mn-Mong-CN"/>
              </w:rPr>
              <w:t>УИХ №21 тогтоол</w:t>
            </w:r>
          </w:p>
          <w:p w14:paraId="10EE3B08" w14:textId="77777777" w:rsidR="00802F3D" w:rsidRPr="00013EED" w:rsidRDefault="00802F3D" w:rsidP="00096F32">
            <w:pPr>
              <w:jc w:val="center"/>
              <w:rPr>
                <w:rFonts w:ascii="Times New Roman" w:hAnsi="Times New Roman" w:cs="Times New Roman"/>
                <w:sz w:val="22"/>
                <w:szCs w:val="22"/>
                <w:lang w:bidi="mn-Mong-CN"/>
              </w:rPr>
            </w:pPr>
            <w:r w:rsidRPr="00013EED">
              <w:rPr>
                <w:rFonts w:ascii="Times New Roman" w:hAnsi="Times New Roman" w:cs="Times New Roman"/>
                <w:sz w:val="22"/>
                <w:szCs w:val="22"/>
                <w:lang w:bidi="mn-Mong-CN"/>
              </w:rPr>
              <w:t>2024.08.27</w:t>
            </w:r>
          </w:p>
          <w:p w14:paraId="12473258" w14:textId="77777777" w:rsidR="00802F3D" w:rsidRPr="00013EED" w:rsidRDefault="00802F3D" w:rsidP="00FA07A7">
            <w:pPr>
              <w:jc w:val="center"/>
              <w:rPr>
                <w:rFonts w:ascii="Times New Roman" w:hAnsi="Times New Roman" w:cs="Times New Roman"/>
                <w:bCs/>
                <w:sz w:val="22"/>
                <w:szCs w:val="22"/>
              </w:rPr>
            </w:pPr>
          </w:p>
        </w:tc>
        <w:tc>
          <w:tcPr>
            <w:tcW w:w="10632" w:type="dxa"/>
            <w:gridSpan w:val="6"/>
          </w:tcPr>
          <w:p w14:paraId="72C9C260" w14:textId="25463657" w:rsidR="00802F3D" w:rsidRPr="00013EED" w:rsidRDefault="00802F3D" w:rsidP="00926FA9">
            <w:pPr>
              <w:rPr>
                <w:rFonts w:ascii="Times New Roman" w:hAnsi="Times New Roman" w:cs="Times New Roman"/>
                <w:sz w:val="22"/>
                <w:szCs w:val="22"/>
              </w:rPr>
            </w:pPr>
            <w:r w:rsidRPr="00013EED">
              <w:rPr>
                <w:rFonts w:ascii="Times New Roman" w:hAnsi="Times New Roman" w:cs="Times New Roman"/>
                <w:b/>
                <w:bCs/>
                <w:sz w:val="22"/>
                <w:szCs w:val="22"/>
                <w:lang w:bidi="mn-Mong-CN"/>
              </w:rPr>
              <w:t>3.1.3</w:t>
            </w:r>
            <w:bookmarkStart w:id="0" w:name="_Toc174373630"/>
            <w:r w:rsidRPr="00013EED">
              <w:rPr>
                <w:rFonts w:ascii="Times New Roman" w:hAnsi="Times New Roman" w:cs="Times New Roman"/>
                <w:b/>
                <w:bCs/>
                <w:sz w:val="22"/>
                <w:szCs w:val="22"/>
              </w:rPr>
              <w:t xml:space="preserve"> </w:t>
            </w:r>
            <w:r w:rsidRPr="00013EED">
              <w:rPr>
                <w:rFonts w:ascii="Times New Roman" w:eastAsia="Times New Roman" w:hAnsi="Times New Roman" w:cs="Times New Roman"/>
                <w:b/>
                <w:bCs/>
                <w:sz w:val="22"/>
                <w:szCs w:val="22"/>
                <w:lang w:eastAsia="zh-CN" w:bidi="mn-Mong-CN"/>
              </w:rPr>
              <w:t>Банк, санхүү, даатгалын салбарын </w:t>
            </w:r>
            <w:bookmarkEnd w:id="0"/>
            <w:r w:rsidRPr="00013EED">
              <w:rPr>
                <w:rFonts w:ascii="Times New Roman" w:eastAsia="Times New Roman" w:hAnsi="Times New Roman" w:cs="Times New Roman"/>
                <w:b/>
                <w:bCs/>
                <w:sz w:val="22"/>
                <w:szCs w:val="22"/>
                <w:lang w:eastAsia="zh-CN" w:bidi="mn-Mong-CN"/>
              </w:rPr>
              <w:t>шинэчлэл</w:t>
            </w:r>
          </w:p>
        </w:tc>
        <w:tc>
          <w:tcPr>
            <w:tcW w:w="850" w:type="dxa"/>
          </w:tcPr>
          <w:p w14:paraId="791BA247" w14:textId="77777777" w:rsidR="00802F3D" w:rsidRPr="00013EED" w:rsidRDefault="00802F3D" w:rsidP="00926FA9">
            <w:pPr>
              <w:rPr>
                <w:rFonts w:ascii="Times New Roman" w:hAnsi="Times New Roman" w:cs="Times New Roman"/>
                <w:b/>
                <w:bCs/>
                <w:sz w:val="22"/>
                <w:szCs w:val="22"/>
                <w:lang w:bidi="mn-Mong-CN"/>
              </w:rPr>
            </w:pPr>
          </w:p>
        </w:tc>
      </w:tr>
      <w:tr w:rsidR="00802F3D" w:rsidRPr="00013EED" w14:paraId="4F97AF48" w14:textId="342D724F" w:rsidTr="00226922">
        <w:tc>
          <w:tcPr>
            <w:tcW w:w="710" w:type="dxa"/>
            <w:vMerge/>
          </w:tcPr>
          <w:p w14:paraId="57EAB37E" w14:textId="77777777" w:rsidR="00802F3D" w:rsidRPr="00013EED" w:rsidRDefault="00802F3D" w:rsidP="00926FA9">
            <w:pPr>
              <w:jc w:val="center"/>
              <w:rPr>
                <w:rFonts w:ascii="Times New Roman" w:hAnsi="Times New Roman" w:cs="Times New Roman"/>
                <w:sz w:val="22"/>
                <w:szCs w:val="22"/>
              </w:rPr>
            </w:pPr>
          </w:p>
        </w:tc>
        <w:tc>
          <w:tcPr>
            <w:tcW w:w="1984" w:type="dxa"/>
            <w:vMerge/>
          </w:tcPr>
          <w:p w14:paraId="61F4BDBE" w14:textId="77777777" w:rsidR="00802F3D" w:rsidRPr="00013EED" w:rsidRDefault="00802F3D" w:rsidP="00926FA9">
            <w:pPr>
              <w:jc w:val="center"/>
              <w:rPr>
                <w:rFonts w:ascii="Times New Roman" w:hAnsi="Times New Roman" w:cs="Times New Roman"/>
                <w:sz w:val="22"/>
                <w:szCs w:val="22"/>
              </w:rPr>
            </w:pPr>
          </w:p>
        </w:tc>
        <w:tc>
          <w:tcPr>
            <w:tcW w:w="1134" w:type="dxa"/>
          </w:tcPr>
          <w:p w14:paraId="051FFB1E" w14:textId="26A4C8E7" w:rsidR="00802F3D" w:rsidRPr="00013EED" w:rsidRDefault="00802F3D" w:rsidP="00926FA9">
            <w:pPr>
              <w:jc w:val="center"/>
              <w:rPr>
                <w:rFonts w:ascii="Times New Roman" w:hAnsi="Times New Roman" w:cs="Times New Roman"/>
                <w:sz w:val="22"/>
                <w:szCs w:val="22"/>
              </w:rPr>
            </w:pPr>
            <w:r w:rsidRPr="00013EED">
              <w:rPr>
                <w:rFonts w:ascii="Times New Roman" w:hAnsi="Times New Roman" w:cs="Times New Roman"/>
                <w:sz w:val="22"/>
                <w:szCs w:val="22"/>
              </w:rPr>
              <w:t>3.1.3.1</w:t>
            </w:r>
          </w:p>
        </w:tc>
        <w:tc>
          <w:tcPr>
            <w:tcW w:w="1560" w:type="dxa"/>
          </w:tcPr>
          <w:p w14:paraId="36F16040" w14:textId="1ABC1EB6" w:rsidR="00802F3D" w:rsidRPr="00013EED" w:rsidRDefault="00802F3D" w:rsidP="001F3B38">
            <w:pPr>
              <w:jc w:val="both"/>
              <w:rPr>
                <w:rFonts w:ascii="Times New Roman" w:hAnsi="Times New Roman" w:cs="Times New Roman"/>
                <w:sz w:val="22"/>
                <w:szCs w:val="22"/>
              </w:rPr>
            </w:pPr>
            <w:r w:rsidRPr="00013EED">
              <w:rPr>
                <w:rFonts w:ascii="Times New Roman" w:eastAsia="Times New Roman" w:hAnsi="Times New Roman" w:cs="Times New Roman"/>
                <w:color w:val="333333"/>
                <w:sz w:val="22"/>
                <w:szCs w:val="22"/>
                <w:lang w:eastAsia="zh-CN" w:bidi="mn-Mong-CN"/>
              </w:rPr>
              <w:t>Санхүү, даатгал, хөрөнгийн зах зээлийн хууль, эрх зүйн орчныг олон улсын жишигт нийцүүлэн шинэчилнэ.</w:t>
            </w:r>
          </w:p>
        </w:tc>
        <w:tc>
          <w:tcPr>
            <w:tcW w:w="4110" w:type="dxa"/>
          </w:tcPr>
          <w:p w14:paraId="67010486" w14:textId="77777777" w:rsidR="00802F3D" w:rsidRPr="00013EED" w:rsidRDefault="00802F3D" w:rsidP="00013EED">
            <w:pPr>
              <w:jc w:val="both"/>
              <w:rPr>
                <w:rFonts w:ascii="Times New Roman" w:hAnsi="Times New Roman" w:cs="Times New Roman"/>
                <w:b/>
                <w:bCs/>
                <w:sz w:val="22"/>
                <w:szCs w:val="22"/>
                <w:lang w:val="mn-MN"/>
              </w:rPr>
            </w:pPr>
            <w:r w:rsidRPr="00013EED">
              <w:rPr>
                <w:rFonts w:ascii="Times New Roman" w:hAnsi="Times New Roman" w:cs="Times New Roman"/>
                <w:b/>
                <w:bCs/>
                <w:sz w:val="22"/>
                <w:szCs w:val="22"/>
                <w:lang w:val="mn-MN"/>
              </w:rPr>
              <w:t>Үнэт цаасны чиглэлээр:</w:t>
            </w:r>
          </w:p>
          <w:p w14:paraId="5E1D64FF" w14:textId="46C58380" w:rsidR="00802F3D" w:rsidRPr="00013EED" w:rsidRDefault="00802F3D" w:rsidP="00013EED">
            <w:pPr>
              <w:jc w:val="both"/>
              <w:rPr>
                <w:rFonts w:ascii="Times New Roman" w:hAnsi="Times New Roman" w:cs="Times New Roman"/>
                <w:b/>
                <w:bCs/>
                <w:sz w:val="22"/>
                <w:szCs w:val="22"/>
                <w:lang w:val="mn-MN"/>
              </w:rPr>
            </w:pPr>
            <w:r w:rsidRPr="00013EED">
              <w:rPr>
                <w:rFonts w:ascii="Times New Roman" w:eastAsiaTheme="minorEastAsia" w:hAnsi="Times New Roman" w:cs="Times New Roman"/>
                <w:color w:val="000000" w:themeColor="text1"/>
                <w:sz w:val="22"/>
                <w:szCs w:val="22"/>
                <w:lang w:eastAsia="zh-CN" w:bidi="mn-Mong-CN"/>
              </w:rPr>
              <w:t>Улсын Их Хурлын Эдийн Засгийн Байнгын хорооны 2024</w:t>
            </w:r>
            <w:r>
              <w:rPr>
                <w:rFonts w:ascii="Times New Roman" w:eastAsiaTheme="minorEastAsia" w:hAnsi="Times New Roman" w:cs="Times New Roman"/>
                <w:color w:val="000000" w:themeColor="text1"/>
                <w:sz w:val="22"/>
                <w:szCs w:val="22"/>
                <w:lang w:eastAsia="zh-CN" w:bidi="mn-Mong-CN"/>
              </w:rPr>
              <w:t xml:space="preserve"> оны </w:t>
            </w:r>
            <w:r w:rsidRPr="00013EED">
              <w:rPr>
                <w:rFonts w:ascii="Times New Roman" w:eastAsiaTheme="minorEastAsia" w:hAnsi="Times New Roman" w:cs="Times New Roman"/>
                <w:color w:val="000000" w:themeColor="text1"/>
                <w:sz w:val="22"/>
                <w:szCs w:val="22"/>
                <w:lang w:eastAsia="zh-CN" w:bidi="mn-Mong-CN"/>
              </w:rPr>
              <w:t>01</w:t>
            </w:r>
            <w:r>
              <w:rPr>
                <w:rFonts w:ascii="Times New Roman" w:eastAsiaTheme="minorEastAsia" w:hAnsi="Times New Roman" w:cs="Times New Roman"/>
                <w:color w:val="000000" w:themeColor="text1"/>
                <w:sz w:val="22"/>
                <w:szCs w:val="22"/>
                <w:lang w:eastAsia="zh-CN" w:bidi="mn-Mong-CN"/>
              </w:rPr>
              <w:t xml:space="preserve"> дүгээр </w:t>
            </w:r>
            <w:r w:rsidRPr="00013EED">
              <w:rPr>
                <w:rFonts w:ascii="Times New Roman" w:eastAsiaTheme="minorEastAsia" w:hAnsi="Times New Roman" w:cs="Times New Roman"/>
                <w:color w:val="000000" w:themeColor="text1"/>
                <w:sz w:val="22"/>
                <w:szCs w:val="22"/>
                <w:lang w:eastAsia="zh-CN" w:bidi="mn-Mong-CN"/>
              </w:rPr>
              <w:t xml:space="preserve">15-ны өдрийн 2 дугаар тогтоолоор Үнэт цаасны зах зээлийн тухай хууль нэмэлт, өөрчлөлт оруулах тухай хуулийн төсөл болон хамт өргөн мэдүүлсэн хуулийн төслүүдийн нэгдсэн хуралдаанаар хэлэлцүүлэх бэлтгэл хангах, санал, дүгнэлтийн төсөл боловсруулах үүрэг бүхий ажлын хэсэг байгуулагдаж, уг ажлын хэсэгт мэргэжил арга зүйн туслалцаа үзүүлэх ажлын дэд хэсгийн бүрэлдэхүүнд орж ажилласан бөгөөд хуулийн төслийн анхны хэлэлцүүлгийг Улсын Их Хурлын чуулганы 2024 оны 03 дугаар сарын 28-ны өдрийн нэгдсэн хуралдаанаар явуулсан. Уг хуралдаанаар ажлын хэсгээс бэлтгэсэн зарчмын зөрүүтэй санал тус бүрийг хэлэлцэж, гишүүдийн олонхын саналаар дэмжиж төслүүдийг эцсийн хэлэлцүүлэгт </w:t>
            </w:r>
            <w:r w:rsidRPr="00013EED">
              <w:rPr>
                <w:rFonts w:ascii="Times New Roman" w:eastAsiaTheme="minorEastAsia" w:hAnsi="Times New Roman" w:cs="Times New Roman"/>
                <w:color w:val="000000" w:themeColor="text1"/>
                <w:sz w:val="22"/>
                <w:szCs w:val="22"/>
                <w:lang w:eastAsia="zh-CN" w:bidi="mn-Mong-CN"/>
              </w:rPr>
              <w:lastRenderedPageBreak/>
              <w:t xml:space="preserve">бэлтгүүлэхээр Эдийн засгийн байнгын хороонд шилжүүлсэн. </w:t>
            </w:r>
          </w:p>
          <w:p w14:paraId="2BB29D3F" w14:textId="0D8FE134" w:rsidR="00802F3D" w:rsidRPr="00013EED" w:rsidRDefault="00802F3D" w:rsidP="00013EED">
            <w:pPr>
              <w:jc w:val="both"/>
              <w:rPr>
                <w:rFonts w:ascii="Times New Roman" w:hAnsi="Times New Roman" w:cs="Times New Roman"/>
                <w:b/>
                <w:bCs/>
                <w:sz w:val="22"/>
                <w:szCs w:val="22"/>
                <w:lang w:val="mn-MN"/>
              </w:rPr>
            </w:pPr>
            <w:r w:rsidRPr="00013EED">
              <w:rPr>
                <w:rFonts w:ascii="Times New Roman" w:eastAsiaTheme="minorEastAsia" w:hAnsi="Times New Roman" w:cs="Times New Roman"/>
                <w:color w:val="000000" w:themeColor="text1"/>
                <w:sz w:val="22"/>
                <w:szCs w:val="22"/>
                <w:lang w:eastAsia="zh-CN" w:bidi="mn-Mong-CN"/>
              </w:rPr>
              <w:t>УИХ-аас Үнэт цаасны зах зээлийн тухай хуульд нэмэлт, өөрчлөлт оруулах тухай хууль болон хамт өргөн мэдүүлсэн хуулийг 2024 оны 05 дугаар сарын 16-ны өдөр эцэслэн баталсан.</w:t>
            </w:r>
          </w:p>
          <w:p w14:paraId="3CD3831C" w14:textId="3F8027E5" w:rsidR="00802F3D" w:rsidRPr="00013EED" w:rsidRDefault="00802F3D" w:rsidP="006C2AFC">
            <w:pPr>
              <w:jc w:val="both"/>
              <w:rPr>
                <w:rFonts w:ascii="Times New Roman" w:hAnsi="Times New Roman" w:cs="Times New Roman"/>
                <w:b/>
                <w:bCs/>
                <w:sz w:val="22"/>
                <w:szCs w:val="22"/>
              </w:rPr>
            </w:pPr>
            <w:r w:rsidRPr="00013EED">
              <w:rPr>
                <w:rFonts w:ascii="Times New Roman" w:hAnsi="Times New Roman" w:cs="Times New Roman"/>
                <w:b/>
                <w:bCs/>
                <w:sz w:val="22"/>
                <w:szCs w:val="22"/>
              </w:rPr>
              <w:t>Даатгалын чиглэлээр:</w:t>
            </w:r>
          </w:p>
          <w:p w14:paraId="3FB1396D" w14:textId="77777777" w:rsidR="00802F3D" w:rsidRPr="00013EED" w:rsidRDefault="00802F3D" w:rsidP="003229DD">
            <w:pPr>
              <w:jc w:val="both"/>
              <w:rPr>
                <w:rFonts w:ascii="Times New Roman" w:hAnsi="Times New Roman" w:cs="Times New Roman"/>
                <w:sz w:val="22"/>
                <w:szCs w:val="22"/>
                <w:lang w:val="mn-MN"/>
              </w:rPr>
            </w:pPr>
            <w:r w:rsidRPr="00013EED">
              <w:rPr>
                <w:rFonts w:ascii="Times New Roman" w:hAnsi="Times New Roman" w:cs="Times New Roman"/>
                <w:sz w:val="22"/>
                <w:szCs w:val="22"/>
                <w:lang w:val="mn-MN"/>
              </w:rPr>
              <w:t>Даатгалын багц хууль буюу Даатгалын тухай, Даатгалын зуучлалын тухай болон Жолоочийн даатгалын тухай хуулиудын шинэчилсэн найруулгын төслийг эцэслэн боловсруулж, Засгийн газрын хуралдаанд танилцуулах чиглэлээр Сангийн яамтай тухай бүр хамтран ажиллаж байна. Үүнд:  </w:t>
            </w:r>
          </w:p>
          <w:p w14:paraId="0CF4DDC6" w14:textId="6CA69D66" w:rsidR="00802F3D" w:rsidRPr="00013EED" w:rsidRDefault="00802F3D" w:rsidP="003229DD">
            <w:pPr>
              <w:jc w:val="both"/>
              <w:rPr>
                <w:rFonts w:ascii="Times New Roman" w:hAnsi="Times New Roman" w:cs="Times New Roman"/>
                <w:sz w:val="22"/>
                <w:szCs w:val="22"/>
                <w:lang w:val="mn-MN"/>
              </w:rPr>
            </w:pPr>
            <w:r w:rsidRPr="00013EED">
              <w:rPr>
                <w:rFonts w:ascii="Times New Roman" w:hAnsi="Times New Roman" w:cs="Times New Roman"/>
                <w:sz w:val="22"/>
                <w:szCs w:val="22"/>
                <w:lang w:val="mn-MN"/>
              </w:rPr>
              <w:t>Даатгалын тухай, Даатгалын зуучлалын тухай болон Жолоочийн даатгалын тухай хуулиудын шинэчилсэн найруулгын төслийн үзэл баримтлалыг 2024 оны 04 дүгээр сард Сангийн сайд, Хууль зүй, дотоод хэргийн сайд хамтран баталсан. Гэвч Засгийн газрын бүтэц, бүрэлдэхүүн өөрчлөгдсөнтэй холбогдуулан хуулиудын төслийн үзэл баримтлалыг дахин шинэчлэн батлуулах шаардлага үүсээд байгаа бөгөөд төслийг Сангийн яаманд хүргүүлсэн. </w:t>
            </w:r>
          </w:p>
          <w:p w14:paraId="5BF0CB39" w14:textId="7E28D09C" w:rsidR="00802F3D" w:rsidRPr="00013EED" w:rsidRDefault="00802F3D" w:rsidP="003229DD">
            <w:pPr>
              <w:jc w:val="both"/>
              <w:rPr>
                <w:rFonts w:ascii="Times New Roman" w:hAnsi="Times New Roman" w:cs="Times New Roman"/>
                <w:b/>
                <w:bCs/>
                <w:sz w:val="22"/>
                <w:szCs w:val="22"/>
              </w:rPr>
            </w:pPr>
            <w:r w:rsidRPr="00013EED">
              <w:rPr>
                <w:rFonts w:ascii="Times New Roman" w:hAnsi="Times New Roman" w:cs="Times New Roman"/>
                <w:sz w:val="22"/>
                <w:szCs w:val="22"/>
                <w:lang w:val="mn-MN"/>
              </w:rPr>
              <w:t>Даатгалын багц хуулийн төслийг эцэслэн боловсруулах хүрээнд Сангийн яам болон салбарын оролцогчидтой тухай бүр хамтран ажиллаж байгаа бөгөөд хуулиудын төсөл, тэдгээрийн бүрдэл, холбогдох материалыг эцэслэн боловсруулаад байна. </w:t>
            </w:r>
          </w:p>
          <w:p w14:paraId="43647C0C" w14:textId="238EEAD4" w:rsidR="00802F3D" w:rsidRPr="00013EED" w:rsidRDefault="00802F3D" w:rsidP="006C2AFC">
            <w:pPr>
              <w:jc w:val="both"/>
              <w:rPr>
                <w:rFonts w:ascii="Times New Roman" w:hAnsi="Times New Roman" w:cs="Times New Roman"/>
                <w:b/>
                <w:bCs/>
                <w:sz w:val="22"/>
                <w:szCs w:val="22"/>
              </w:rPr>
            </w:pPr>
            <w:r w:rsidRPr="00013EED">
              <w:rPr>
                <w:rFonts w:ascii="Times New Roman" w:hAnsi="Times New Roman" w:cs="Times New Roman"/>
                <w:b/>
                <w:bCs/>
                <w:sz w:val="22"/>
                <w:szCs w:val="22"/>
              </w:rPr>
              <w:t xml:space="preserve">Хадгаламж зээлийн </w:t>
            </w:r>
            <w:r w:rsidRPr="00013EED">
              <w:rPr>
                <w:rFonts w:ascii="Times New Roman" w:hAnsi="Times New Roman" w:cs="Times New Roman"/>
                <w:b/>
                <w:bCs/>
                <w:sz w:val="22"/>
                <w:szCs w:val="22"/>
                <w:lang w:val="mn-MN"/>
              </w:rPr>
              <w:t xml:space="preserve">хоршооны </w:t>
            </w:r>
            <w:r w:rsidRPr="00013EED">
              <w:rPr>
                <w:rFonts w:ascii="Times New Roman" w:hAnsi="Times New Roman" w:cs="Times New Roman"/>
                <w:b/>
                <w:bCs/>
                <w:sz w:val="22"/>
                <w:szCs w:val="22"/>
              </w:rPr>
              <w:t>чиглэлээр:</w:t>
            </w:r>
          </w:p>
          <w:p w14:paraId="6506537C" w14:textId="21F1D4A2" w:rsidR="00802F3D" w:rsidRPr="00013EED" w:rsidRDefault="00802F3D" w:rsidP="006C2AFC">
            <w:pPr>
              <w:jc w:val="both"/>
              <w:rPr>
                <w:rFonts w:ascii="Times New Roman" w:hAnsi="Times New Roman" w:cs="Times New Roman"/>
                <w:sz w:val="22"/>
                <w:szCs w:val="22"/>
              </w:rPr>
            </w:pPr>
            <w:r w:rsidRPr="00013EED">
              <w:rPr>
                <w:rFonts w:ascii="Times New Roman" w:hAnsi="Times New Roman" w:cs="Times New Roman"/>
                <w:sz w:val="22"/>
                <w:szCs w:val="22"/>
                <w:lang w:val="mn-MN"/>
              </w:rPr>
              <w:lastRenderedPageBreak/>
              <w:t>Зах зээлийг</w:t>
            </w:r>
            <w:r w:rsidRPr="00013EED">
              <w:rPr>
                <w:rFonts w:ascii="Times New Roman" w:hAnsi="Times New Roman" w:cs="Times New Roman"/>
                <w:sz w:val="22"/>
                <w:szCs w:val="22"/>
              </w:rPr>
              <w:t xml:space="preserve"> олон улсын сайн туршлагад нийцүүлэн гишүүдийн санхүүгийн хэрэгцээ болон нийгэм, соёлын нийтлэг хэрэгцээг бүрэн хангахуйц, хөдөө аж ахуйн орны мал аж ахуйн онцлогт тохирсон бүтээгдэхүүн үйлчилгээтэй санхүүгийн хоршоог хөгжүүлэх эрх зүйн орчныг бий болгох хууль эрх зүйн орчныг бүрдүүлэх хэрэгцээ шаардлагын хүрээнд УИХ-ын даргын 2025 оны 06 дугаар сарын 12-ны өдрийн 258 дугаар захирамжаар Санхүүгийн хоршооны тухай хуулийн төсөл боловсруулах үүрэг бүхий ажлын хэсэг байгуулагдсан. Санхүүгийн хоршооны тухай хууль (шинэчилсэн найруулга)-ийн төсөлд салбарын оролцогчид, </w:t>
            </w:r>
            <w:r w:rsidRPr="00013EED">
              <w:rPr>
                <w:rFonts w:ascii="Times New Roman" w:eastAsia="Times New Roman" w:hAnsi="Times New Roman" w:cs="Times New Roman"/>
                <w:color w:val="242424"/>
                <w:sz w:val="22"/>
                <w:szCs w:val="22"/>
                <w:lang w:val="mn-MN"/>
              </w:rPr>
              <w:t>олон нийтээс санал авах хэлэлцүүлгийг 10 дугаар сард Дархан-Уул, Сэлэнгэ, Орхон, Булган, Дундговь, Дорноговь аймгуудад зохион байгуулсан.</w:t>
            </w:r>
          </w:p>
        </w:tc>
        <w:tc>
          <w:tcPr>
            <w:tcW w:w="1418" w:type="dxa"/>
          </w:tcPr>
          <w:p w14:paraId="3EBDACE4" w14:textId="4BCCE684" w:rsidR="00802F3D" w:rsidRPr="00013EED" w:rsidRDefault="00802F3D" w:rsidP="00802F3D">
            <w:pPr>
              <w:jc w:val="center"/>
              <w:rPr>
                <w:rFonts w:ascii="Times New Roman" w:hAnsi="Times New Roman" w:cs="Times New Roman"/>
                <w:sz w:val="22"/>
                <w:szCs w:val="22"/>
              </w:rPr>
            </w:pPr>
          </w:p>
        </w:tc>
        <w:tc>
          <w:tcPr>
            <w:tcW w:w="1134" w:type="dxa"/>
          </w:tcPr>
          <w:p w14:paraId="0D9E6F70" w14:textId="77777777" w:rsidR="00802F3D" w:rsidRPr="00013EED" w:rsidRDefault="00802F3D" w:rsidP="00926FA9">
            <w:pPr>
              <w:jc w:val="center"/>
              <w:rPr>
                <w:rFonts w:ascii="Times New Roman" w:hAnsi="Times New Roman" w:cs="Times New Roman"/>
                <w:sz w:val="22"/>
                <w:szCs w:val="22"/>
              </w:rPr>
            </w:pPr>
          </w:p>
        </w:tc>
        <w:tc>
          <w:tcPr>
            <w:tcW w:w="1276" w:type="dxa"/>
          </w:tcPr>
          <w:p w14:paraId="1225CF8A" w14:textId="6CD53A66" w:rsidR="00802F3D" w:rsidRPr="00013EED" w:rsidRDefault="00802F3D" w:rsidP="003500EB">
            <w:pPr>
              <w:rPr>
                <w:rFonts w:ascii="Times New Roman" w:hAnsi="Times New Roman" w:cs="Times New Roman"/>
                <w:sz w:val="22"/>
                <w:szCs w:val="22"/>
              </w:rPr>
            </w:pPr>
          </w:p>
        </w:tc>
        <w:tc>
          <w:tcPr>
            <w:tcW w:w="850" w:type="dxa"/>
          </w:tcPr>
          <w:p w14:paraId="4E87058F" w14:textId="0A67DDC2" w:rsidR="00802F3D" w:rsidRPr="00013EED" w:rsidRDefault="00802F3D" w:rsidP="00802F3D">
            <w:pPr>
              <w:jc w:val="center"/>
              <w:rPr>
                <w:rFonts w:ascii="Times New Roman" w:hAnsi="Times New Roman" w:cs="Times New Roman"/>
                <w:sz w:val="22"/>
                <w:szCs w:val="22"/>
              </w:rPr>
            </w:pPr>
            <w:r>
              <w:rPr>
                <w:rFonts w:ascii="Times New Roman" w:hAnsi="Times New Roman" w:cs="Times New Roman"/>
                <w:sz w:val="22"/>
                <w:szCs w:val="22"/>
              </w:rPr>
              <w:t>87</w:t>
            </w:r>
          </w:p>
        </w:tc>
      </w:tr>
      <w:tr w:rsidR="00802F3D" w:rsidRPr="00013EED" w14:paraId="6F9D245F" w14:textId="2CED1604" w:rsidTr="00226922">
        <w:tc>
          <w:tcPr>
            <w:tcW w:w="710" w:type="dxa"/>
            <w:vMerge/>
          </w:tcPr>
          <w:p w14:paraId="092C484F" w14:textId="77777777" w:rsidR="00802F3D" w:rsidRPr="00013EED" w:rsidRDefault="00802F3D" w:rsidP="00610976">
            <w:pPr>
              <w:jc w:val="center"/>
              <w:rPr>
                <w:rFonts w:ascii="Times New Roman" w:hAnsi="Times New Roman" w:cs="Times New Roman"/>
                <w:sz w:val="22"/>
                <w:szCs w:val="22"/>
              </w:rPr>
            </w:pPr>
          </w:p>
        </w:tc>
        <w:tc>
          <w:tcPr>
            <w:tcW w:w="1984" w:type="dxa"/>
            <w:vMerge/>
          </w:tcPr>
          <w:p w14:paraId="02DEA870" w14:textId="77777777" w:rsidR="00802F3D" w:rsidRPr="00013EED" w:rsidRDefault="00802F3D" w:rsidP="00610976">
            <w:pPr>
              <w:jc w:val="center"/>
              <w:rPr>
                <w:rFonts w:ascii="Times New Roman" w:hAnsi="Times New Roman" w:cs="Times New Roman"/>
                <w:sz w:val="22"/>
                <w:szCs w:val="22"/>
              </w:rPr>
            </w:pPr>
          </w:p>
        </w:tc>
        <w:tc>
          <w:tcPr>
            <w:tcW w:w="1134" w:type="dxa"/>
          </w:tcPr>
          <w:p w14:paraId="32F08AD5" w14:textId="3DF2E8F6" w:rsidR="00802F3D" w:rsidRPr="00013EED" w:rsidRDefault="00802F3D" w:rsidP="00610976">
            <w:pPr>
              <w:jc w:val="center"/>
              <w:rPr>
                <w:rFonts w:ascii="Times New Roman" w:hAnsi="Times New Roman" w:cs="Times New Roman"/>
                <w:sz w:val="22"/>
                <w:szCs w:val="22"/>
              </w:rPr>
            </w:pPr>
            <w:r w:rsidRPr="00013EED">
              <w:rPr>
                <w:rFonts w:ascii="Times New Roman" w:hAnsi="Times New Roman" w:cs="Times New Roman"/>
                <w:sz w:val="22"/>
                <w:szCs w:val="22"/>
              </w:rPr>
              <w:t>3.1.3.2</w:t>
            </w:r>
          </w:p>
        </w:tc>
        <w:tc>
          <w:tcPr>
            <w:tcW w:w="1560" w:type="dxa"/>
          </w:tcPr>
          <w:p w14:paraId="510AE56C" w14:textId="2ADFEBBA" w:rsidR="00802F3D" w:rsidRPr="00013EED" w:rsidRDefault="00802F3D" w:rsidP="00610976">
            <w:pPr>
              <w:jc w:val="both"/>
              <w:rPr>
                <w:rFonts w:ascii="Times New Roman" w:hAnsi="Times New Roman" w:cs="Times New Roman"/>
                <w:sz w:val="22"/>
                <w:szCs w:val="22"/>
              </w:rPr>
            </w:pPr>
            <w:r w:rsidRPr="00013EED">
              <w:rPr>
                <w:rFonts w:ascii="Times New Roman" w:eastAsia="Times New Roman" w:hAnsi="Times New Roman" w:cs="Times New Roman"/>
                <w:color w:val="333333"/>
                <w:sz w:val="22"/>
                <w:szCs w:val="22"/>
                <w:lang w:eastAsia="zh-CN" w:bidi="mn-Mong-CN"/>
              </w:rPr>
              <w:t>Бичил, жижиг, дунд бизнес эрхлэгчдэд таатай нөхцөлөөр санал болгох санхүүгийн бүтээгдэхүүнийг дэмжинэ.</w:t>
            </w:r>
          </w:p>
        </w:tc>
        <w:tc>
          <w:tcPr>
            <w:tcW w:w="4110" w:type="dxa"/>
          </w:tcPr>
          <w:p w14:paraId="2232566A" w14:textId="67E81DFF" w:rsidR="00802F3D" w:rsidRPr="00013EED" w:rsidRDefault="00802F3D" w:rsidP="00610976">
            <w:pPr>
              <w:rPr>
                <w:rFonts w:ascii="Times New Roman" w:hAnsi="Times New Roman" w:cs="Times New Roman"/>
                <w:b/>
                <w:bCs/>
                <w:sz w:val="22"/>
                <w:szCs w:val="22"/>
              </w:rPr>
            </w:pPr>
            <w:r w:rsidRPr="00013EED">
              <w:rPr>
                <w:rFonts w:ascii="Times New Roman" w:hAnsi="Times New Roman" w:cs="Times New Roman"/>
                <w:b/>
                <w:bCs/>
                <w:sz w:val="22"/>
                <w:szCs w:val="22"/>
              </w:rPr>
              <w:t>Үнэт цаасны газрын хүрээнд:</w:t>
            </w:r>
          </w:p>
          <w:p w14:paraId="27C7A294" w14:textId="30B4D52B" w:rsidR="00802F3D" w:rsidRPr="00013EED" w:rsidRDefault="00802F3D" w:rsidP="00610976">
            <w:pPr>
              <w:jc w:val="both"/>
              <w:rPr>
                <w:rFonts w:ascii="Times New Roman" w:hAnsi="Times New Roman" w:cs="Times New Roman"/>
                <w:b/>
                <w:bCs/>
                <w:sz w:val="22"/>
                <w:szCs w:val="22"/>
              </w:rPr>
            </w:pPr>
            <w:r w:rsidRPr="00013EED">
              <w:rPr>
                <w:rFonts w:ascii="Times New Roman" w:eastAsiaTheme="minorEastAsia" w:hAnsi="Times New Roman" w:cs="Times New Roman"/>
                <w:color w:val="000000" w:themeColor="text1"/>
                <w:sz w:val="22"/>
                <w:szCs w:val="22"/>
              </w:rPr>
              <w:t xml:space="preserve">Улсын Их Хурлаас 2024 оны 05 дугаар сарын 16-ны өдөр Үнэт цаасны зах зээлийн тухай хуульд нэмэлт, өөрчлөлт оруулан хувьцааны хамтын санхүүжилтийн үйл ажиллагааны журмыг Хороо батлахаар зохицуулалтыг тусгасан. Үүнтэй холбогдуулан Хорооны 2025 оны 06 дугаар тогтоолоор “Хувьцааны хамтын санхүүжилтийн үйл ажиллагааны журам”-ыг батлан, Захиргааны хэм хэмжээний актын 2025 оны 02 дугаар сарын 24-ний өдрийн 7141 дугаарт бүртгүүлсэн. Уг журам батлагдсанаар жижиг, дунд үйлдвэрлэл үйлчилгээ эрхлэгчид нь хувьцааны </w:t>
            </w:r>
            <w:r w:rsidRPr="00013EED">
              <w:rPr>
                <w:rFonts w:ascii="Times New Roman" w:eastAsiaTheme="minorEastAsia" w:hAnsi="Times New Roman" w:cs="Times New Roman"/>
                <w:color w:val="000000" w:themeColor="text1"/>
                <w:sz w:val="22"/>
                <w:szCs w:val="22"/>
              </w:rPr>
              <w:lastRenderedPageBreak/>
              <w:t>хамтын санхүүжилтийн үйлчилгээ үзүүлэгчээр дамжуулан хувьцаагаа санал болгон шаардлагатай санхүүжилтээ татан төвлөрүүлэх боломжтой болсон.</w:t>
            </w:r>
          </w:p>
          <w:p w14:paraId="42758616" w14:textId="6F66048E" w:rsidR="00802F3D" w:rsidRPr="00013EED" w:rsidRDefault="00802F3D" w:rsidP="00610976">
            <w:pPr>
              <w:rPr>
                <w:rFonts w:ascii="Times New Roman" w:hAnsi="Times New Roman" w:cs="Times New Roman"/>
                <w:b/>
                <w:bCs/>
                <w:sz w:val="22"/>
                <w:szCs w:val="22"/>
              </w:rPr>
            </w:pPr>
            <w:r w:rsidRPr="00013EED">
              <w:rPr>
                <w:rFonts w:ascii="Times New Roman" w:hAnsi="Times New Roman" w:cs="Times New Roman"/>
                <w:b/>
                <w:bCs/>
                <w:sz w:val="22"/>
                <w:szCs w:val="22"/>
              </w:rPr>
              <w:t>Банк бус санхүүгийн байгууллагын газрын хүрээнд:</w:t>
            </w:r>
          </w:p>
          <w:p w14:paraId="31A5C286" w14:textId="0060201B" w:rsidR="00802F3D" w:rsidRPr="00013EED" w:rsidRDefault="00802F3D" w:rsidP="00610976">
            <w:pPr>
              <w:jc w:val="both"/>
              <w:rPr>
                <w:rFonts w:ascii="Times New Roman" w:hAnsi="Times New Roman" w:cs="Times New Roman"/>
                <w:sz w:val="22"/>
                <w:szCs w:val="22"/>
              </w:rPr>
            </w:pPr>
            <w:r w:rsidRPr="00013EED">
              <w:rPr>
                <w:rFonts w:ascii="Times New Roman" w:hAnsi="Times New Roman" w:cs="Times New Roman"/>
                <w:sz w:val="22"/>
                <w:szCs w:val="22"/>
              </w:rPr>
              <w:t>Санхүүгийн зохицуулах хорооны 2025 оны 03 дугаар сарын 20-ны өдрийн 77 дугаар тогтоолоор “Банк бус санхүүгийн зээлийн үйл ажиллагааны журам”-д хэрэглээний зээлийн бүтээгдэхүүнд тооцох өр, орлогын харьцааг 60 хувиас хэтрэхгүй байхаар, суудлын автомашин барьцаалсан болон худалдан авах хэрэглээний зээлийн зээл, үнэлгээний харьцаа 60 хувиас хэтрэхгүй байхаар тогтоосон. Ингэснээр ББСБ-уудын хэрэглээний зээлээс илүү бичил, жижиг, дунд, бизнес эрхлэгчдэд санхүүгийн бүтээгдэхүүн санал болгох нөхцөл бүрдэнэ.</w:t>
            </w:r>
          </w:p>
          <w:p w14:paraId="4E02677E" w14:textId="77777777" w:rsidR="00802F3D" w:rsidRPr="00013EED" w:rsidRDefault="00802F3D" w:rsidP="00610976">
            <w:pPr>
              <w:jc w:val="both"/>
              <w:rPr>
                <w:rFonts w:ascii="Times New Roman" w:hAnsi="Times New Roman" w:cs="Times New Roman"/>
                <w:sz w:val="22"/>
                <w:szCs w:val="22"/>
              </w:rPr>
            </w:pPr>
            <w:r w:rsidRPr="00013EED">
              <w:rPr>
                <w:rFonts w:ascii="Times New Roman" w:hAnsi="Times New Roman" w:cs="Times New Roman"/>
                <w:sz w:val="22"/>
                <w:szCs w:val="22"/>
              </w:rPr>
              <w:t xml:space="preserve">2025 оны III улирлын байдлаар xэрэглээний зээл өмнөх улиралтай харьцуулахад 3.5 хувиар буурч, бизнесийн зээл 2.4 хувиар буюу 477.3 тэрбум төгрөгөөр өссөн байна. </w:t>
            </w:r>
          </w:p>
          <w:p w14:paraId="574571AC" w14:textId="03A56F3C" w:rsidR="00802F3D" w:rsidRPr="00013EED" w:rsidRDefault="00802F3D" w:rsidP="00610976">
            <w:pPr>
              <w:jc w:val="both"/>
              <w:rPr>
                <w:rFonts w:ascii="Times New Roman" w:hAnsi="Times New Roman" w:cs="Times New Roman"/>
                <w:b/>
                <w:bCs/>
                <w:sz w:val="22"/>
                <w:szCs w:val="22"/>
                <w:lang w:val="mn-MN"/>
              </w:rPr>
            </w:pPr>
            <w:r w:rsidRPr="00013EED">
              <w:rPr>
                <w:rFonts w:ascii="Times New Roman" w:hAnsi="Times New Roman" w:cs="Times New Roman"/>
                <w:b/>
                <w:bCs/>
                <w:sz w:val="22"/>
                <w:szCs w:val="22"/>
                <w:lang w:val="mn-MN"/>
              </w:rPr>
              <w:t>Хадгаламж зээлийн хоршооны газрын хүрээнд:</w:t>
            </w:r>
          </w:p>
          <w:p w14:paraId="485E25D4" w14:textId="1937895E" w:rsidR="00802F3D" w:rsidRPr="00013EED" w:rsidRDefault="00802F3D" w:rsidP="00610976">
            <w:pPr>
              <w:jc w:val="both"/>
              <w:rPr>
                <w:rFonts w:ascii="Times New Roman" w:hAnsi="Times New Roman" w:cs="Times New Roman"/>
                <w:sz w:val="22"/>
                <w:szCs w:val="22"/>
                <w:lang w:val="mn-MN"/>
              </w:rPr>
            </w:pPr>
            <w:r w:rsidRPr="00013EED">
              <w:rPr>
                <w:rFonts w:ascii="Times New Roman" w:hAnsi="Times New Roman" w:cs="Times New Roman"/>
                <w:sz w:val="22"/>
                <w:szCs w:val="22"/>
                <w:lang w:val="mn-MN"/>
              </w:rPr>
              <w:t xml:space="preserve">Санхүүгийн зохицуулах хорооноос хүйсээр ангилсан тоон мэдээллийг цуглуулах, чанарыг сайжруулах, эмэгтэй бизнес эрхлэгчдэд зориулсан санхүүжилтийн хүртээмжийг нэмэгдүүлэх зорилгоор “Эмэгтэй бизнес эрхлэгчдийн код </w:t>
            </w:r>
            <w:r w:rsidRPr="00013EED">
              <w:rPr>
                <w:rFonts w:ascii="Times New Roman" w:hAnsi="Times New Roman" w:cs="Times New Roman"/>
                <w:sz w:val="22"/>
                <w:szCs w:val="22"/>
                <w:lang w:eastAsia="zh-CN"/>
              </w:rPr>
              <w:t>(We code)</w:t>
            </w:r>
            <w:r w:rsidRPr="00013EED">
              <w:rPr>
                <w:rFonts w:ascii="Times New Roman" w:hAnsi="Times New Roman" w:cs="Times New Roman"/>
                <w:sz w:val="22"/>
                <w:szCs w:val="22"/>
                <w:lang w:val="mn-MN"/>
              </w:rPr>
              <w:t>” олон улсын санаачилгын нээлтийн үйл ажиллагаанд ХЗХ-дыг  2025 оны 01 дүгээр сарын 16-</w:t>
            </w:r>
            <w:r w:rsidRPr="00013EED">
              <w:rPr>
                <w:rFonts w:ascii="Times New Roman" w:hAnsi="Times New Roman" w:cs="Times New Roman"/>
                <w:sz w:val="22"/>
                <w:szCs w:val="22"/>
                <w:lang w:val="mn-MN"/>
              </w:rPr>
              <w:lastRenderedPageBreak/>
              <w:t>ны өдөр оролцуулсан. Тус санаачилгын хүрээнд СЗХ-ны дарга болон Монголбанкны ерөнхийлөгчийн хамтарсан 2025 оны 10 дугаар сарын 10-ны өдрийн 367/А-235 дугаар тушаалаар байгуулагдсан “Эмэгтэй бизнес эрхлэгчдийн санхүүжилтийн таксономи” боловсруулах ажлын хэсэгт газрын төлөөлөл ажиллаж, эмэгтэй бичил, жижиг, дунд бизнес эрхлэгчдэд зориулсан санхүүгийн үйлчилгээний ангилсан тоон мэдээлэл цуглуулах нийтлэг стандартыг бий болгохоор ажиллаж байна.</w:t>
            </w:r>
          </w:p>
          <w:p w14:paraId="2A103B20" w14:textId="5F6FF858" w:rsidR="00802F3D" w:rsidRPr="00013EED" w:rsidRDefault="00802F3D" w:rsidP="00610976">
            <w:pPr>
              <w:jc w:val="both"/>
              <w:rPr>
                <w:rFonts w:ascii="Times New Roman" w:hAnsi="Times New Roman" w:cs="Times New Roman"/>
                <w:b/>
                <w:bCs/>
                <w:sz w:val="22"/>
                <w:szCs w:val="22"/>
                <w:lang w:val="mn-MN"/>
              </w:rPr>
            </w:pPr>
            <w:r w:rsidRPr="00013EED">
              <w:rPr>
                <w:rFonts w:ascii="Times New Roman" w:hAnsi="Times New Roman" w:cs="Times New Roman"/>
                <w:sz w:val="22"/>
                <w:szCs w:val="22"/>
                <w:lang w:val="mn-MN"/>
              </w:rPr>
              <w:t xml:space="preserve">Санхүүгийн хүртээмжийн нийгэмлэг </w:t>
            </w:r>
            <w:r w:rsidRPr="00013EED">
              <w:rPr>
                <w:rFonts w:ascii="Times New Roman" w:hAnsi="Times New Roman" w:cs="Times New Roman"/>
                <w:sz w:val="22"/>
                <w:szCs w:val="22"/>
                <w:lang w:val="mn-MN" w:eastAsia="zh-CN"/>
              </w:rPr>
              <w:t>(</w:t>
            </w:r>
            <w:r w:rsidRPr="00013EED">
              <w:rPr>
                <w:rFonts w:ascii="Times New Roman" w:hAnsi="Times New Roman" w:cs="Times New Roman"/>
                <w:sz w:val="22"/>
                <w:szCs w:val="22"/>
                <w:lang w:val="mn-MN"/>
              </w:rPr>
              <w:t xml:space="preserve">AFI)-тэй хамтран </w:t>
            </w:r>
            <w:r w:rsidRPr="00013EED">
              <w:rPr>
                <w:rFonts w:ascii="Times New Roman" w:hAnsi="Times New Roman" w:cs="Times New Roman"/>
                <w:sz w:val="22"/>
                <w:szCs w:val="22"/>
                <w:lang w:val="mn-MN" w:eastAsia="zh-CN"/>
              </w:rPr>
              <w:t>“</w:t>
            </w:r>
            <w:r w:rsidRPr="00013EED">
              <w:rPr>
                <w:rFonts w:ascii="Times New Roman" w:hAnsi="Times New Roman" w:cs="Times New Roman"/>
                <w:sz w:val="22"/>
                <w:szCs w:val="22"/>
                <w:lang w:val="mn-MN"/>
              </w:rPr>
              <w:t>ХЗХ-дын гишүүн БЖДҮ эрхлэгч эмэгтэйчүүдэд зориулсан хүртээмжтэй ногоон санхүүжилт” төслийг 2025.09-2026.12 дугаар сар хүртэл хэрэгжүүлнэ. Төслөөр БЖДҮ эрхлэгчдэд тохирсон ногоон санхүүгийн бүтээгдэхүүн, үйлчилгээг ХЗХ-дод бий болгож, хөгжүүлснээр орон нутагт үйл ажиллагаа эрхэлж буй эмэгтэй бизнес эрхлэгчдийн санхүүгийн хүртээмжийг нэмэгдүүлэх боломж бүрдэнэ.</w:t>
            </w:r>
          </w:p>
        </w:tc>
        <w:tc>
          <w:tcPr>
            <w:tcW w:w="1418" w:type="dxa"/>
          </w:tcPr>
          <w:p w14:paraId="4BB8FAC3" w14:textId="77777777" w:rsidR="00802F3D" w:rsidRPr="00013EED" w:rsidRDefault="00802F3D" w:rsidP="00610976">
            <w:pPr>
              <w:jc w:val="both"/>
              <w:rPr>
                <w:rFonts w:ascii="Times New Roman" w:hAnsi="Times New Roman" w:cs="Times New Roman"/>
                <w:sz w:val="22"/>
                <w:szCs w:val="22"/>
              </w:rPr>
            </w:pPr>
          </w:p>
        </w:tc>
        <w:tc>
          <w:tcPr>
            <w:tcW w:w="1134" w:type="dxa"/>
          </w:tcPr>
          <w:p w14:paraId="1278F744" w14:textId="77777777" w:rsidR="00802F3D" w:rsidRPr="00013EED" w:rsidRDefault="00802F3D" w:rsidP="00610976">
            <w:pPr>
              <w:jc w:val="center"/>
              <w:rPr>
                <w:rFonts w:ascii="Times New Roman" w:hAnsi="Times New Roman" w:cs="Times New Roman"/>
                <w:sz w:val="22"/>
                <w:szCs w:val="22"/>
              </w:rPr>
            </w:pPr>
          </w:p>
        </w:tc>
        <w:tc>
          <w:tcPr>
            <w:tcW w:w="1276" w:type="dxa"/>
          </w:tcPr>
          <w:p w14:paraId="45B298CF" w14:textId="4DB31CBD" w:rsidR="00802F3D" w:rsidRPr="00013EED" w:rsidRDefault="00802F3D" w:rsidP="00610976">
            <w:pPr>
              <w:rPr>
                <w:rFonts w:ascii="Times New Roman" w:hAnsi="Times New Roman" w:cs="Times New Roman"/>
                <w:sz w:val="22"/>
                <w:szCs w:val="22"/>
              </w:rPr>
            </w:pPr>
          </w:p>
        </w:tc>
        <w:tc>
          <w:tcPr>
            <w:tcW w:w="850" w:type="dxa"/>
          </w:tcPr>
          <w:p w14:paraId="1E7273D8" w14:textId="6050CBC0" w:rsidR="00802F3D" w:rsidRDefault="00802F3D" w:rsidP="00802F3D">
            <w:pPr>
              <w:jc w:val="center"/>
              <w:rPr>
                <w:rFonts w:ascii="Times New Roman" w:hAnsi="Times New Roman" w:cs="Times New Roman"/>
                <w:sz w:val="22"/>
                <w:szCs w:val="22"/>
              </w:rPr>
            </w:pPr>
            <w:r>
              <w:rPr>
                <w:rFonts w:ascii="Times New Roman" w:hAnsi="Times New Roman" w:cs="Times New Roman"/>
                <w:sz w:val="22"/>
                <w:szCs w:val="22"/>
              </w:rPr>
              <w:t>100</w:t>
            </w:r>
          </w:p>
        </w:tc>
      </w:tr>
      <w:tr w:rsidR="00802F3D" w:rsidRPr="00013EED" w14:paraId="16688899" w14:textId="27D2D786" w:rsidTr="00226922">
        <w:tc>
          <w:tcPr>
            <w:tcW w:w="710" w:type="dxa"/>
            <w:vMerge/>
          </w:tcPr>
          <w:p w14:paraId="78074C3E" w14:textId="77777777" w:rsidR="00802F3D" w:rsidRPr="00013EED" w:rsidRDefault="00802F3D" w:rsidP="00610976">
            <w:pPr>
              <w:jc w:val="center"/>
              <w:rPr>
                <w:rFonts w:ascii="Times New Roman" w:hAnsi="Times New Roman" w:cs="Times New Roman"/>
                <w:sz w:val="22"/>
                <w:szCs w:val="22"/>
              </w:rPr>
            </w:pPr>
          </w:p>
        </w:tc>
        <w:tc>
          <w:tcPr>
            <w:tcW w:w="1984" w:type="dxa"/>
            <w:vMerge/>
          </w:tcPr>
          <w:p w14:paraId="4B04CD67" w14:textId="77777777" w:rsidR="00802F3D" w:rsidRPr="00013EED" w:rsidRDefault="00802F3D" w:rsidP="00610976">
            <w:pPr>
              <w:jc w:val="center"/>
              <w:rPr>
                <w:rFonts w:ascii="Times New Roman" w:hAnsi="Times New Roman" w:cs="Times New Roman"/>
                <w:sz w:val="22"/>
                <w:szCs w:val="22"/>
              </w:rPr>
            </w:pPr>
          </w:p>
        </w:tc>
        <w:tc>
          <w:tcPr>
            <w:tcW w:w="1134" w:type="dxa"/>
          </w:tcPr>
          <w:p w14:paraId="1248B692" w14:textId="6B63078C" w:rsidR="00802F3D" w:rsidRPr="00013EED" w:rsidRDefault="00802F3D" w:rsidP="00610976">
            <w:pPr>
              <w:jc w:val="center"/>
              <w:rPr>
                <w:rFonts w:ascii="Times New Roman" w:hAnsi="Times New Roman" w:cs="Times New Roman"/>
                <w:sz w:val="22"/>
                <w:szCs w:val="22"/>
              </w:rPr>
            </w:pPr>
            <w:r w:rsidRPr="00013EED">
              <w:rPr>
                <w:rFonts w:ascii="Times New Roman" w:hAnsi="Times New Roman" w:cs="Times New Roman"/>
                <w:sz w:val="22"/>
                <w:szCs w:val="22"/>
                <w:lang w:bidi="mn-Mong-CN"/>
              </w:rPr>
              <w:t>3.1.3.5</w:t>
            </w:r>
          </w:p>
        </w:tc>
        <w:tc>
          <w:tcPr>
            <w:tcW w:w="1560" w:type="dxa"/>
          </w:tcPr>
          <w:p w14:paraId="0A90C3D4" w14:textId="512582EA" w:rsidR="00802F3D" w:rsidRPr="00013EED" w:rsidRDefault="00802F3D" w:rsidP="00610976">
            <w:pPr>
              <w:jc w:val="both"/>
              <w:rPr>
                <w:rFonts w:ascii="Times New Roman" w:hAnsi="Times New Roman" w:cs="Times New Roman"/>
                <w:sz w:val="22"/>
                <w:szCs w:val="22"/>
              </w:rPr>
            </w:pPr>
            <w:r w:rsidRPr="00013EED">
              <w:rPr>
                <w:rFonts w:ascii="Times New Roman" w:eastAsia="Times New Roman" w:hAnsi="Times New Roman" w:cs="Times New Roman"/>
                <w:color w:val="333333"/>
                <w:sz w:val="22"/>
                <w:szCs w:val="22"/>
                <w:lang w:eastAsia="zh-CN" w:bidi="mn-Mong-CN"/>
              </w:rPr>
              <w:t xml:space="preserve">Хөрөнгийн зах зээлд мэргэжлийн оролцогчдын хүрээг тэлэх бодлого хэрэгжүүлж, гадаадын хөрөнгө оруулагчдыг татах татварын </w:t>
            </w:r>
            <w:r w:rsidRPr="00013EED">
              <w:rPr>
                <w:rFonts w:ascii="Times New Roman" w:eastAsia="Times New Roman" w:hAnsi="Times New Roman" w:cs="Times New Roman"/>
                <w:color w:val="333333"/>
                <w:sz w:val="22"/>
                <w:szCs w:val="22"/>
                <w:lang w:eastAsia="zh-CN" w:bidi="mn-Mong-CN"/>
              </w:rPr>
              <w:lastRenderedPageBreak/>
              <w:t>таатай орчныг бүрдүүлнэ.</w:t>
            </w:r>
          </w:p>
        </w:tc>
        <w:tc>
          <w:tcPr>
            <w:tcW w:w="4110" w:type="dxa"/>
          </w:tcPr>
          <w:p w14:paraId="236D7266" w14:textId="77777777" w:rsidR="00802F3D" w:rsidRPr="00013EED" w:rsidRDefault="00802F3D" w:rsidP="00610976">
            <w:pPr>
              <w:pStyle w:val="NormalWeb"/>
              <w:spacing w:before="0" w:beforeAutospacing="0" w:after="0" w:afterAutospacing="0"/>
              <w:jc w:val="both"/>
              <w:rPr>
                <w:rFonts w:eastAsiaTheme="minorEastAsia"/>
                <w:color w:val="000000" w:themeColor="text1"/>
                <w:sz w:val="22"/>
                <w:szCs w:val="22"/>
              </w:rPr>
            </w:pPr>
            <w:r w:rsidRPr="00013EED">
              <w:rPr>
                <w:sz w:val="22"/>
                <w:szCs w:val="22"/>
                <w:lang w:val="mn-MN"/>
              </w:rPr>
              <w:lastRenderedPageBreak/>
              <w:t xml:space="preserve"> </w:t>
            </w:r>
            <w:r w:rsidRPr="00013EED">
              <w:rPr>
                <w:rFonts w:eastAsiaTheme="minorEastAsia"/>
                <w:color w:val="000000" w:themeColor="text1"/>
                <w:sz w:val="22"/>
                <w:szCs w:val="22"/>
              </w:rPr>
              <w:t xml:space="preserve">Аж ахуйн нэгжийн орлогын албан татварын тухай хууль, Хувь хүний орлогын албан татварын тухай хуульд дотоодын үнэт цаасны анхдагч болон хоёрдогч зах зээлд нээлттэй арилжаалсан өрийн хэрэгсэл /бонд/, хувьцаа, бусад үнэт цаасыг борлуулсны орлогод ногдох албан татварыг цэвэршүүлсэн дүнгээр буюу худалдаж авсан үнэ болон худалдан авахад төлсөн баримтаар нотлогдож байгаа шимтгэлийн дүнг хасаж, тооцсон дүнгээс тооцох зохицуулалтыг  2023 оны </w:t>
            </w:r>
            <w:r w:rsidRPr="00013EED">
              <w:rPr>
                <w:rFonts w:eastAsiaTheme="minorEastAsia"/>
                <w:color w:val="000000" w:themeColor="text1"/>
                <w:sz w:val="22"/>
                <w:szCs w:val="22"/>
              </w:rPr>
              <w:lastRenderedPageBreak/>
              <w:t xml:space="preserve">11 дүгээр сарын 10-ны өдрийн хуулиар нэмэлт, өөрчлөлт оруулсан. </w:t>
            </w:r>
          </w:p>
          <w:p w14:paraId="38CA6B40" w14:textId="77777777" w:rsidR="00802F3D" w:rsidRPr="00013EED" w:rsidRDefault="00802F3D" w:rsidP="00610976">
            <w:pPr>
              <w:jc w:val="both"/>
              <w:rPr>
                <w:rFonts w:ascii="Times New Roman" w:eastAsiaTheme="minorEastAsia" w:hAnsi="Times New Roman" w:cs="Times New Roman"/>
                <w:color w:val="000000" w:themeColor="text1"/>
                <w:sz w:val="22"/>
                <w:szCs w:val="22"/>
              </w:rPr>
            </w:pPr>
            <w:r w:rsidRPr="00013EED">
              <w:rPr>
                <w:rFonts w:ascii="Times New Roman" w:eastAsiaTheme="minorEastAsia" w:hAnsi="Times New Roman" w:cs="Times New Roman"/>
                <w:color w:val="000000" w:themeColor="text1"/>
                <w:sz w:val="22"/>
                <w:szCs w:val="22"/>
              </w:rPr>
              <w:t>Түүнчлэн, Аж ахуйн нэгжийн орлогын албан татварын тухай хуулийн 21.1.15-д хөрөнгө оруулалтын сангийн үйл ажиллагааны орло</w:t>
            </w:r>
            <w:r w:rsidRPr="00013EED">
              <w:rPr>
                <w:rFonts w:ascii="Times New Roman" w:eastAsiaTheme="minorEastAsia" w:hAnsi="Times New Roman" w:cs="Times New Roman"/>
                <w:color w:val="000000" w:themeColor="text1"/>
                <w:sz w:val="22"/>
                <w:szCs w:val="22"/>
                <w:lang w:val="mn-MN"/>
              </w:rPr>
              <w:t>г</w:t>
            </w:r>
            <w:r w:rsidRPr="00013EED">
              <w:rPr>
                <w:rFonts w:ascii="Times New Roman" w:eastAsiaTheme="minorEastAsia" w:hAnsi="Times New Roman" w:cs="Times New Roman"/>
                <w:color w:val="000000" w:themeColor="text1"/>
                <w:sz w:val="22"/>
                <w:szCs w:val="22"/>
              </w:rPr>
              <w:t>ыг албан татвараас чөлөөлөхөөр заасан.</w:t>
            </w:r>
          </w:p>
          <w:p w14:paraId="6EB545C0" w14:textId="0657F268" w:rsidR="00802F3D" w:rsidRPr="00013EED" w:rsidRDefault="00802F3D" w:rsidP="00610976">
            <w:pPr>
              <w:jc w:val="both"/>
              <w:rPr>
                <w:rFonts w:ascii="Times New Roman" w:hAnsi="Times New Roman" w:cs="Times New Roman"/>
                <w:sz w:val="22"/>
                <w:szCs w:val="22"/>
                <w:lang w:val="mn-MN"/>
              </w:rPr>
            </w:pPr>
            <w:r>
              <w:rPr>
                <w:rFonts w:ascii="Times New Roman" w:hAnsi="Times New Roman" w:cs="Times New Roman"/>
                <w:color w:val="000000" w:themeColor="text1"/>
                <w:sz w:val="22"/>
                <w:szCs w:val="22"/>
              </w:rPr>
              <w:t>Х</w:t>
            </w:r>
            <w:r w:rsidRPr="00013EED">
              <w:rPr>
                <w:rFonts w:ascii="Times New Roman" w:hAnsi="Times New Roman" w:cs="Times New Roman"/>
                <w:color w:val="000000" w:themeColor="text1"/>
                <w:sz w:val="22"/>
                <w:szCs w:val="22"/>
              </w:rPr>
              <w:t>өрөнгийн зах зээлий</w:t>
            </w:r>
            <w:r w:rsidRPr="00013EED">
              <w:rPr>
                <w:rFonts w:ascii="Times New Roman" w:hAnsi="Times New Roman" w:cs="Times New Roman"/>
                <w:color w:val="000000" w:themeColor="text1"/>
                <w:sz w:val="22"/>
                <w:szCs w:val="22"/>
                <w:lang w:val="mn-MN"/>
              </w:rPr>
              <w:t>г</w:t>
            </w:r>
            <w:r w:rsidRPr="00013EED">
              <w:rPr>
                <w:rFonts w:ascii="Times New Roman" w:hAnsi="Times New Roman" w:cs="Times New Roman"/>
                <w:color w:val="000000" w:themeColor="text1"/>
                <w:sz w:val="22"/>
                <w:szCs w:val="22"/>
              </w:rPr>
              <w:t xml:space="preserve"> татварын таатай орчноор дэмжих хүрээнд Татварын багц хуульд нэмэлт, өөрчлөлт оруулах тухай Хорооны 2025 оны 03 дугаар сарын 18-ны өдрийн 1/917 дугаар албан бичгийг хүргүүлсэн.</w:t>
            </w:r>
          </w:p>
        </w:tc>
        <w:tc>
          <w:tcPr>
            <w:tcW w:w="1418" w:type="dxa"/>
          </w:tcPr>
          <w:p w14:paraId="3B41B742" w14:textId="60BA7D92" w:rsidR="00802F3D" w:rsidRPr="00013EED" w:rsidRDefault="00802F3D" w:rsidP="00610976">
            <w:pPr>
              <w:jc w:val="center"/>
              <w:rPr>
                <w:rFonts w:ascii="Times New Roman" w:hAnsi="Times New Roman" w:cs="Times New Roman"/>
                <w:sz w:val="22"/>
                <w:szCs w:val="22"/>
              </w:rPr>
            </w:pPr>
          </w:p>
        </w:tc>
        <w:tc>
          <w:tcPr>
            <w:tcW w:w="1134" w:type="dxa"/>
          </w:tcPr>
          <w:p w14:paraId="63203704" w14:textId="77777777" w:rsidR="00802F3D" w:rsidRPr="00013EED" w:rsidRDefault="00802F3D" w:rsidP="00610976">
            <w:pPr>
              <w:jc w:val="center"/>
              <w:rPr>
                <w:rFonts w:ascii="Times New Roman" w:hAnsi="Times New Roman" w:cs="Times New Roman"/>
                <w:sz w:val="22"/>
                <w:szCs w:val="22"/>
              </w:rPr>
            </w:pPr>
          </w:p>
        </w:tc>
        <w:tc>
          <w:tcPr>
            <w:tcW w:w="1276" w:type="dxa"/>
          </w:tcPr>
          <w:p w14:paraId="65EB7EB3" w14:textId="16A55BAB" w:rsidR="00802F3D" w:rsidRPr="00013EED" w:rsidRDefault="00802F3D" w:rsidP="00610976">
            <w:pPr>
              <w:jc w:val="center"/>
              <w:rPr>
                <w:rFonts w:ascii="Times New Roman" w:hAnsi="Times New Roman" w:cs="Times New Roman"/>
                <w:sz w:val="22"/>
                <w:szCs w:val="22"/>
              </w:rPr>
            </w:pPr>
          </w:p>
        </w:tc>
        <w:tc>
          <w:tcPr>
            <w:tcW w:w="850" w:type="dxa"/>
          </w:tcPr>
          <w:p w14:paraId="5EA2F00B" w14:textId="0322D4A5" w:rsidR="00802F3D" w:rsidRPr="00013EED" w:rsidRDefault="00802F3D" w:rsidP="00610976">
            <w:pPr>
              <w:jc w:val="center"/>
              <w:rPr>
                <w:rFonts w:ascii="Times New Roman" w:hAnsi="Times New Roman" w:cs="Times New Roman"/>
                <w:sz w:val="22"/>
                <w:szCs w:val="22"/>
              </w:rPr>
            </w:pPr>
            <w:r>
              <w:rPr>
                <w:rFonts w:ascii="Times New Roman" w:hAnsi="Times New Roman" w:cs="Times New Roman"/>
                <w:sz w:val="22"/>
                <w:szCs w:val="22"/>
              </w:rPr>
              <w:t>90</w:t>
            </w:r>
          </w:p>
        </w:tc>
      </w:tr>
      <w:tr w:rsidR="00802F3D" w:rsidRPr="00013EED" w14:paraId="7CB2FA19" w14:textId="2BDFB0F6" w:rsidTr="00226922">
        <w:tc>
          <w:tcPr>
            <w:tcW w:w="710" w:type="dxa"/>
            <w:vMerge/>
          </w:tcPr>
          <w:p w14:paraId="434D1AD1" w14:textId="77777777" w:rsidR="00802F3D" w:rsidRPr="00013EED" w:rsidRDefault="00802F3D" w:rsidP="00610976">
            <w:pPr>
              <w:jc w:val="center"/>
              <w:rPr>
                <w:rFonts w:ascii="Times New Roman" w:hAnsi="Times New Roman" w:cs="Times New Roman"/>
                <w:sz w:val="22"/>
                <w:szCs w:val="22"/>
              </w:rPr>
            </w:pPr>
          </w:p>
        </w:tc>
        <w:tc>
          <w:tcPr>
            <w:tcW w:w="1984" w:type="dxa"/>
            <w:vMerge/>
          </w:tcPr>
          <w:p w14:paraId="000A977A" w14:textId="77777777" w:rsidR="00802F3D" w:rsidRPr="00013EED" w:rsidRDefault="00802F3D" w:rsidP="00610976">
            <w:pPr>
              <w:jc w:val="center"/>
              <w:rPr>
                <w:rFonts w:ascii="Times New Roman" w:hAnsi="Times New Roman" w:cs="Times New Roman"/>
                <w:sz w:val="22"/>
                <w:szCs w:val="22"/>
              </w:rPr>
            </w:pPr>
          </w:p>
        </w:tc>
        <w:tc>
          <w:tcPr>
            <w:tcW w:w="1134" w:type="dxa"/>
          </w:tcPr>
          <w:p w14:paraId="3161C4BD" w14:textId="271C2AFE" w:rsidR="00802F3D" w:rsidRPr="00013EED" w:rsidRDefault="00802F3D" w:rsidP="00610976">
            <w:pPr>
              <w:jc w:val="center"/>
              <w:rPr>
                <w:rFonts w:ascii="Times New Roman" w:hAnsi="Times New Roman" w:cs="Times New Roman"/>
                <w:sz w:val="22"/>
                <w:szCs w:val="22"/>
              </w:rPr>
            </w:pPr>
            <w:r w:rsidRPr="00013EED">
              <w:rPr>
                <w:rFonts w:ascii="Times New Roman" w:hAnsi="Times New Roman" w:cs="Times New Roman"/>
                <w:sz w:val="22"/>
                <w:szCs w:val="22"/>
                <w:lang w:bidi="mn-Mong-CN"/>
              </w:rPr>
              <w:t>3.1.3.6</w:t>
            </w:r>
          </w:p>
        </w:tc>
        <w:tc>
          <w:tcPr>
            <w:tcW w:w="1560" w:type="dxa"/>
          </w:tcPr>
          <w:p w14:paraId="0EC560F4" w14:textId="7EAA1FE5" w:rsidR="00802F3D" w:rsidRPr="00013EED" w:rsidRDefault="00802F3D" w:rsidP="00610976">
            <w:pPr>
              <w:jc w:val="both"/>
              <w:rPr>
                <w:rFonts w:ascii="Times New Roman" w:hAnsi="Times New Roman" w:cs="Times New Roman"/>
                <w:sz w:val="22"/>
                <w:szCs w:val="22"/>
              </w:rPr>
            </w:pPr>
            <w:r w:rsidRPr="00013EED">
              <w:rPr>
                <w:rFonts w:ascii="Times New Roman" w:eastAsia="Times New Roman" w:hAnsi="Times New Roman" w:cs="Times New Roman"/>
                <w:color w:val="333333"/>
                <w:sz w:val="22"/>
                <w:szCs w:val="22"/>
                <w:lang w:eastAsia="zh-CN" w:bidi="mn-Mong-CN"/>
              </w:rPr>
              <w:t>Нийгмийн даатгалын сангийн чөлөөт үлдэгдэл, тэтгэврийн нөөц сан, хувийн нэмэлт тэтгэврийн сангийн хөрөнгийн тодорхой хэсгийг эрх бүхий мэргэжлийн байгууллагын менежментээр хөрөнгийн зах зээлд хөрөнгө оруулах эрх зүйн орчныг бүрдүүлнэ.</w:t>
            </w:r>
          </w:p>
        </w:tc>
        <w:tc>
          <w:tcPr>
            <w:tcW w:w="4110" w:type="dxa"/>
          </w:tcPr>
          <w:p w14:paraId="45252D08" w14:textId="13EBF654" w:rsidR="00802F3D" w:rsidRPr="00013EED" w:rsidRDefault="00802F3D" w:rsidP="00610976">
            <w:pPr>
              <w:jc w:val="both"/>
              <w:rPr>
                <w:rFonts w:ascii="Times New Roman" w:hAnsi="Times New Roman" w:cs="Times New Roman"/>
                <w:sz w:val="22"/>
                <w:szCs w:val="22"/>
              </w:rPr>
            </w:pPr>
            <w:r w:rsidRPr="00013EED">
              <w:rPr>
                <w:rFonts w:ascii="Times New Roman" w:hAnsi="Times New Roman" w:cs="Times New Roman"/>
                <w:color w:val="000000" w:themeColor="text1"/>
                <w:sz w:val="22"/>
                <w:szCs w:val="22"/>
              </w:rPr>
              <w:t>Г</w:t>
            </w:r>
            <w:r>
              <w:rPr>
                <w:rFonts w:ascii="Times New Roman" w:hAnsi="Times New Roman" w:cs="Times New Roman"/>
                <w:color w:val="000000" w:themeColor="text1"/>
                <w:sz w:val="22"/>
                <w:szCs w:val="22"/>
              </w:rPr>
              <w:t>эр бүл хөдөлмөр нийгмийн хамгааллын</w:t>
            </w:r>
            <w:r w:rsidRPr="00013EED">
              <w:rPr>
                <w:rFonts w:ascii="Times New Roman" w:hAnsi="Times New Roman" w:cs="Times New Roman"/>
                <w:color w:val="000000" w:themeColor="text1"/>
                <w:sz w:val="22"/>
                <w:szCs w:val="22"/>
              </w:rPr>
              <w:t xml:space="preserve"> сайдын 2024 оны 10 дугаар сарын 30-ны өдрийн А/48 дугаар тушаалаар ажлын хэсэг байгуулагдаж, Хорооны албан хаагчид тус ажлын хэсэгт орж ажилласан. Саналыг тухай бүр ажлын хэсэгт танилцуулж ажилласан бөгөөд Хорооны 2025</w:t>
            </w:r>
            <w:r>
              <w:rPr>
                <w:rFonts w:ascii="Times New Roman" w:hAnsi="Times New Roman" w:cs="Times New Roman"/>
                <w:color w:val="000000" w:themeColor="text1"/>
                <w:sz w:val="22"/>
                <w:szCs w:val="22"/>
              </w:rPr>
              <w:t xml:space="preserve"> оны </w:t>
            </w:r>
            <w:r w:rsidRPr="00013EED">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 xml:space="preserve">6 дугаар сарын </w:t>
            </w:r>
            <w:r w:rsidRPr="00013EED">
              <w:rPr>
                <w:rFonts w:ascii="Times New Roman" w:hAnsi="Times New Roman" w:cs="Times New Roman"/>
                <w:color w:val="000000" w:themeColor="text1"/>
                <w:sz w:val="22"/>
                <w:szCs w:val="22"/>
              </w:rPr>
              <w:t>06-ны өдрийн 1/2315 дугаар албан бичгээр ГБХНХЯ-нд Хувийн нэмэлт тэтгэврийн тухай хуулийн төсөлтэй холбоотой саналыг хүргүүлсэн.</w:t>
            </w:r>
          </w:p>
        </w:tc>
        <w:tc>
          <w:tcPr>
            <w:tcW w:w="1418" w:type="dxa"/>
          </w:tcPr>
          <w:p w14:paraId="3E3D752E" w14:textId="6A4479A8" w:rsidR="00802F3D" w:rsidRPr="00013EED" w:rsidRDefault="00802F3D" w:rsidP="00610976">
            <w:pPr>
              <w:jc w:val="center"/>
              <w:rPr>
                <w:rFonts w:ascii="Times New Roman" w:hAnsi="Times New Roman" w:cs="Times New Roman"/>
                <w:sz w:val="22"/>
                <w:szCs w:val="22"/>
              </w:rPr>
            </w:pPr>
          </w:p>
        </w:tc>
        <w:tc>
          <w:tcPr>
            <w:tcW w:w="1134" w:type="dxa"/>
          </w:tcPr>
          <w:p w14:paraId="56C5476B" w14:textId="77777777" w:rsidR="00802F3D" w:rsidRPr="00013EED" w:rsidRDefault="00802F3D" w:rsidP="00610976">
            <w:pPr>
              <w:jc w:val="center"/>
              <w:rPr>
                <w:rFonts w:ascii="Times New Roman" w:hAnsi="Times New Roman" w:cs="Times New Roman"/>
                <w:sz w:val="22"/>
                <w:szCs w:val="22"/>
              </w:rPr>
            </w:pPr>
          </w:p>
        </w:tc>
        <w:tc>
          <w:tcPr>
            <w:tcW w:w="1276" w:type="dxa"/>
          </w:tcPr>
          <w:p w14:paraId="6951A850" w14:textId="77777777" w:rsidR="00802F3D" w:rsidRPr="00013EED" w:rsidRDefault="00802F3D" w:rsidP="00610976">
            <w:pPr>
              <w:jc w:val="center"/>
              <w:rPr>
                <w:rFonts w:ascii="Times New Roman" w:hAnsi="Times New Roman" w:cs="Times New Roman"/>
                <w:sz w:val="22"/>
                <w:szCs w:val="22"/>
              </w:rPr>
            </w:pPr>
          </w:p>
        </w:tc>
        <w:tc>
          <w:tcPr>
            <w:tcW w:w="850" w:type="dxa"/>
          </w:tcPr>
          <w:p w14:paraId="3F949479" w14:textId="65642FDC" w:rsidR="00802F3D" w:rsidRPr="00013EED" w:rsidRDefault="00802F3D" w:rsidP="00610976">
            <w:pPr>
              <w:jc w:val="center"/>
              <w:rPr>
                <w:rFonts w:ascii="Times New Roman" w:hAnsi="Times New Roman" w:cs="Times New Roman"/>
                <w:sz w:val="22"/>
                <w:szCs w:val="22"/>
              </w:rPr>
            </w:pPr>
            <w:r>
              <w:rPr>
                <w:rFonts w:ascii="Times New Roman" w:hAnsi="Times New Roman" w:cs="Times New Roman"/>
                <w:sz w:val="22"/>
                <w:szCs w:val="22"/>
              </w:rPr>
              <w:t>50</w:t>
            </w:r>
          </w:p>
        </w:tc>
      </w:tr>
      <w:tr w:rsidR="00802F3D" w:rsidRPr="00013EED" w14:paraId="4B775E11" w14:textId="4210CE42" w:rsidTr="00226922">
        <w:tc>
          <w:tcPr>
            <w:tcW w:w="710" w:type="dxa"/>
            <w:vMerge/>
          </w:tcPr>
          <w:p w14:paraId="793186A4" w14:textId="77777777" w:rsidR="00802F3D" w:rsidRPr="00013EED" w:rsidRDefault="00802F3D" w:rsidP="00610976">
            <w:pPr>
              <w:jc w:val="center"/>
              <w:rPr>
                <w:rFonts w:ascii="Times New Roman" w:hAnsi="Times New Roman" w:cs="Times New Roman"/>
                <w:sz w:val="22"/>
                <w:szCs w:val="22"/>
              </w:rPr>
            </w:pPr>
          </w:p>
        </w:tc>
        <w:tc>
          <w:tcPr>
            <w:tcW w:w="1984" w:type="dxa"/>
            <w:vMerge/>
          </w:tcPr>
          <w:p w14:paraId="7C0741A1" w14:textId="77777777" w:rsidR="00802F3D" w:rsidRPr="00013EED" w:rsidRDefault="00802F3D" w:rsidP="00610976">
            <w:pPr>
              <w:jc w:val="center"/>
              <w:rPr>
                <w:rFonts w:ascii="Times New Roman" w:hAnsi="Times New Roman" w:cs="Times New Roman"/>
                <w:sz w:val="22"/>
                <w:szCs w:val="22"/>
              </w:rPr>
            </w:pPr>
          </w:p>
        </w:tc>
        <w:tc>
          <w:tcPr>
            <w:tcW w:w="1134" w:type="dxa"/>
          </w:tcPr>
          <w:p w14:paraId="3D6DA7AA" w14:textId="5F969B49" w:rsidR="00802F3D" w:rsidRPr="00013EED" w:rsidRDefault="00802F3D" w:rsidP="00610976">
            <w:pPr>
              <w:jc w:val="center"/>
              <w:rPr>
                <w:rFonts w:ascii="Times New Roman" w:hAnsi="Times New Roman" w:cs="Times New Roman"/>
                <w:sz w:val="22"/>
                <w:szCs w:val="22"/>
              </w:rPr>
            </w:pPr>
            <w:r w:rsidRPr="00013EED">
              <w:rPr>
                <w:rFonts w:ascii="Times New Roman" w:hAnsi="Times New Roman" w:cs="Times New Roman"/>
                <w:sz w:val="22"/>
                <w:szCs w:val="22"/>
                <w:lang w:bidi="mn-Mong-CN"/>
              </w:rPr>
              <w:t>3.1.3.7</w:t>
            </w:r>
          </w:p>
        </w:tc>
        <w:tc>
          <w:tcPr>
            <w:tcW w:w="1560" w:type="dxa"/>
          </w:tcPr>
          <w:p w14:paraId="32C5E712" w14:textId="2FD02C8B" w:rsidR="00802F3D" w:rsidRPr="00013EED" w:rsidRDefault="00802F3D" w:rsidP="00610976">
            <w:pPr>
              <w:jc w:val="both"/>
              <w:rPr>
                <w:rFonts w:ascii="Times New Roman" w:hAnsi="Times New Roman" w:cs="Times New Roman"/>
                <w:sz w:val="22"/>
                <w:szCs w:val="22"/>
              </w:rPr>
            </w:pPr>
            <w:r w:rsidRPr="00013EED">
              <w:rPr>
                <w:rFonts w:ascii="Times New Roman" w:eastAsia="Times New Roman" w:hAnsi="Times New Roman" w:cs="Times New Roman"/>
                <w:color w:val="333333"/>
                <w:sz w:val="22"/>
                <w:szCs w:val="22"/>
                <w:lang w:eastAsia="zh-CN" w:bidi="mn-Mong-CN"/>
              </w:rPr>
              <w:t>Олон улсын цахим төлбөрийн системүүдийг нэвтрүүлж, төлбөр тооцоог саадгүй хүлээн авах боломжийг бүрдүүлэн цахим худалдааг дэмжинэ.</w:t>
            </w:r>
          </w:p>
        </w:tc>
        <w:tc>
          <w:tcPr>
            <w:tcW w:w="4110" w:type="dxa"/>
          </w:tcPr>
          <w:p w14:paraId="52110ECE" w14:textId="77777777" w:rsidR="00802F3D" w:rsidRPr="00013EED" w:rsidRDefault="00802F3D" w:rsidP="00610976">
            <w:pPr>
              <w:jc w:val="both"/>
              <w:rPr>
                <w:rFonts w:ascii="Times New Roman" w:hAnsi="Times New Roman" w:cs="Times New Roman"/>
                <w:sz w:val="22"/>
                <w:szCs w:val="22"/>
                <w:lang w:val="mn-MN"/>
              </w:rPr>
            </w:pPr>
            <w:r w:rsidRPr="00013EED">
              <w:rPr>
                <w:rFonts w:ascii="Times New Roman" w:hAnsi="Times New Roman" w:cs="Times New Roman"/>
                <w:sz w:val="22"/>
                <w:szCs w:val="22"/>
                <w:lang w:val="mn-MN"/>
              </w:rPr>
              <w:t>2025 оны III улирлын байдлаар 77 ББСБ 72 финтек зээлийн аппликэйшнээр дамжуулж цахим зээлийн үйлчилгээ үзүүлж байгаа ба тэдгээр нь мөн мерчант дэлгүүрүүдтэй хамтран цахим худалдаанд төрөл бүрийн бүтээгдэхүүн санал болгон хамтран ажиллаж байна.</w:t>
            </w:r>
          </w:p>
          <w:p w14:paraId="6D3E6DDC" w14:textId="27D4D83D" w:rsidR="00802F3D" w:rsidRPr="00013EED" w:rsidRDefault="00802F3D" w:rsidP="00610976">
            <w:pPr>
              <w:jc w:val="both"/>
              <w:rPr>
                <w:rFonts w:ascii="Times New Roman" w:hAnsi="Times New Roman" w:cs="Times New Roman"/>
                <w:sz w:val="22"/>
                <w:szCs w:val="22"/>
              </w:rPr>
            </w:pPr>
            <w:r w:rsidRPr="00013EED">
              <w:rPr>
                <w:rFonts w:ascii="Times New Roman" w:hAnsi="Times New Roman" w:cs="Times New Roman"/>
                <w:sz w:val="22"/>
                <w:szCs w:val="22"/>
                <w:lang w:val="mn-MN"/>
              </w:rPr>
              <w:t>“Соно Финтек ББСБ” ХХК нь Google pay дэмжих олон улсын кредит картыг Монгол Улсад  анх удаа нэвтрүүлсэн. Тухайн ББСБ-ын харилцагчид шинэ кредит картаа Google Pay-д холбон утсаараа шууд төлбөр хийх боломжтой. Ингэснээр гадаад, дотоод бүх газарт картгүйгээр NFC-ээр түргэн, аюулгүй төлбөр хийх боломж бүрдсэн.</w:t>
            </w:r>
          </w:p>
        </w:tc>
        <w:tc>
          <w:tcPr>
            <w:tcW w:w="1418" w:type="dxa"/>
          </w:tcPr>
          <w:p w14:paraId="0F098656" w14:textId="77777777" w:rsidR="00802F3D" w:rsidRPr="00013EED" w:rsidRDefault="00802F3D" w:rsidP="00610976">
            <w:pPr>
              <w:jc w:val="center"/>
              <w:rPr>
                <w:rFonts w:ascii="Times New Roman" w:hAnsi="Times New Roman" w:cs="Times New Roman"/>
                <w:sz w:val="22"/>
                <w:szCs w:val="22"/>
              </w:rPr>
            </w:pPr>
          </w:p>
        </w:tc>
        <w:tc>
          <w:tcPr>
            <w:tcW w:w="1134" w:type="dxa"/>
          </w:tcPr>
          <w:p w14:paraId="7B735CFE" w14:textId="77777777" w:rsidR="00802F3D" w:rsidRPr="00013EED" w:rsidRDefault="00802F3D" w:rsidP="00610976">
            <w:pPr>
              <w:jc w:val="center"/>
              <w:rPr>
                <w:rFonts w:ascii="Times New Roman" w:hAnsi="Times New Roman" w:cs="Times New Roman"/>
                <w:sz w:val="22"/>
                <w:szCs w:val="22"/>
              </w:rPr>
            </w:pPr>
          </w:p>
        </w:tc>
        <w:tc>
          <w:tcPr>
            <w:tcW w:w="1276" w:type="dxa"/>
          </w:tcPr>
          <w:p w14:paraId="13C36E9E" w14:textId="77777777" w:rsidR="00802F3D" w:rsidRPr="00013EED" w:rsidRDefault="00802F3D" w:rsidP="00610976">
            <w:pPr>
              <w:jc w:val="center"/>
              <w:rPr>
                <w:rFonts w:ascii="Times New Roman" w:hAnsi="Times New Roman" w:cs="Times New Roman"/>
                <w:sz w:val="22"/>
                <w:szCs w:val="22"/>
              </w:rPr>
            </w:pPr>
          </w:p>
        </w:tc>
        <w:tc>
          <w:tcPr>
            <w:tcW w:w="850" w:type="dxa"/>
          </w:tcPr>
          <w:p w14:paraId="19C58DD3" w14:textId="54327705" w:rsidR="00802F3D" w:rsidRPr="00013EED" w:rsidRDefault="00802F3D" w:rsidP="00610976">
            <w:pPr>
              <w:jc w:val="center"/>
              <w:rPr>
                <w:rFonts w:ascii="Times New Roman" w:hAnsi="Times New Roman" w:cs="Times New Roman"/>
                <w:sz w:val="22"/>
                <w:szCs w:val="22"/>
              </w:rPr>
            </w:pPr>
            <w:r>
              <w:rPr>
                <w:rFonts w:ascii="Times New Roman" w:hAnsi="Times New Roman" w:cs="Times New Roman"/>
                <w:sz w:val="22"/>
                <w:szCs w:val="22"/>
              </w:rPr>
              <w:t>100</w:t>
            </w:r>
          </w:p>
        </w:tc>
      </w:tr>
      <w:tr w:rsidR="00802F3D" w:rsidRPr="00013EED" w14:paraId="1D0AA8B8" w14:textId="4ADE94F1" w:rsidTr="00226922">
        <w:tc>
          <w:tcPr>
            <w:tcW w:w="710" w:type="dxa"/>
            <w:vMerge/>
          </w:tcPr>
          <w:p w14:paraId="074BD796" w14:textId="77777777" w:rsidR="00802F3D" w:rsidRPr="00013EED" w:rsidRDefault="00802F3D" w:rsidP="00610976">
            <w:pPr>
              <w:jc w:val="center"/>
              <w:rPr>
                <w:rFonts w:ascii="Times New Roman" w:hAnsi="Times New Roman" w:cs="Times New Roman"/>
                <w:sz w:val="22"/>
                <w:szCs w:val="22"/>
              </w:rPr>
            </w:pPr>
          </w:p>
        </w:tc>
        <w:tc>
          <w:tcPr>
            <w:tcW w:w="1984" w:type="dxa"/>
            <w:vMerge/>
          </w:tcPr>
          <w:p w14:paraId="039A3D82" w14:textId="77777777" w:rsidR="00802F3D" w:rsidRPr="00013EED" w:rsidRDefault="00802F3D" w:rsidP="00610976">
            <w:pPr>
              <w:jc w:val="center"/>
              <w:rPr>
                <w:rFonts w:ascii="Times New Roman" w:hAnsi="Times New Roman" w:cs="Times New Roman"/>
                <w:sz w:val="22"/>
                <w:szCs w:val="22"/>
              </w:rPr>
            </w:pPr>
          </w:p>
        </w:tc>
        <w:tc>
          <w:tcPr>
            <w:tcW w:w="1134" w:type="dxa"/>
          </w:tcPr>
          <w:p w14:paraId="4F36578D" w14:textId="60498EFC" w:rsidR="00802F3D" w:rsidRPr="00013EED" w:rsidRDefault="00802F3D" w:rsidP="00610976">
            <w:pPr>
              <w:jc w:val="center"/>
              <w:rPr>
                <w:rFonts w:ascii="Times New Roman" w:hAnsi="Times New Roman" w:cs="Times New Roman"/>
                <w:sz w:val="22"/>
                <w:szCs w:val="22"/>
              </w:rPr>
            </w:pPr>
            <w:r w:rsidRPr="00013EED">
              <w:rPr>
                <w:rFonts w:ascii="Times New Roman" w:hAnsi="Times New Roman" w:cs="Times New Roman"/>
                <w:sz w:val="22"/>
                <w:szCs w:val="22"/>
                <w:lang w:bidi="mn-Mong-CN"/>
              </w:rPr>
              <w:t>3.1.3.9</w:t>
            </w:r>
          </w:p>
        </w:tc>
        <w:tc>
          <w:tcPr>
            <w:tcW w:w="1560" w:type="dxa"/>
          </w:tcPr>
          <w:p w14:paraId="72C9A651" w14:textId="00FF461F" w:rsidR="00802F3D" w:rsidRPr="00013EED" w:rsidRDefault="00802F3D" w:rsidP="00610976">
            <w:pPr>
              <w:jc w:val="both"/>
              <w:rPr>
                <w:rFonts w:ascii="Times New Roman" w:hAnsi="Times New Roman" w:cs="Times New Roman"/>
                <w:sz w:val="22"/>
                <w:szCs w:val="22"/>
              </w:rPr>
            </w:pPr>
            <w:r w:rsidRPr="00013EED">
              <w:rPr>
                <w:rFonts w:ascii="Times New Roman" w:eastAsia="Times New Roman" w:hAnsi="Times New Roman" w:cs="Times New Roman"/>
                <w:color w:val="333333"/>
                <w:sz w:val="22"/>
                <w:szCs w:val="22"/>
                <w:lang w:eastAsia="zh-CN" w:bidi="mn-Mong-CN"/>
              </w:rPr>
              <w:t>Хөрөнгийн зах зээлийн дэд бүтцийн байгууллагуудын системийн цогц шинэчлэлийг хэрэгжүүлж, олон улсын стандарт бүхий нэгдсэн шийдлийг зах зээлд нэвтрүүлнэ.</w:t>
            </w:r>
          </w:p>
        </w:tc>
        <w:tc>
          <w:tcPr>
            <w:tcW w:w="4110" w:type="dxa"/>
          </w:tcPr>
          <w:p w14:paraId="593B75B4" w14:textId="648757FE" w:rsidR="00802F3D" w:rsidRPr="00013EED" w:rsidRDefault="00802F3D" w:rsidP="00610976">
            <w:pPr>
              <w:jc w:val="both"/>
              <w:rPr>
                <w:rFonts w:ascii="Times New Roman" w:eastAsiaTheme="minorEastAsia" w:hAnsi="Times New Roman" w:cs="Times New Roman"/>
                <w:color w:val="000000" w:themeColor="text1"/>
                <w:sz w:val="22"/>
                <w:szCs w:val="22"/>
              </w:rPr>
            </w:pPr>
            <w:r w:rsidRPr="00013EED">
              <w:rPr>
                <w:rFonts w:ascii="Times New Roman" w:eastAsiaTheme="minorEastAsia" w:hAnsi="Times New Roman" w:cs="Times New Roman"/>
                <w:color w:val="000000" w:themeColor="text1"/>
                <w:sz w:val="22"/>
                <w:szCs w:val="22"/>
              </w:rPr>
              <w:t>Сангийн сайдын 2024 оны 11 дүгээр сарын 22-ны өдрийн 212 дугаар тушаалаар хөрөнгийн зах зээлийн дэд бүтцийн системийн уялдаа холбоог хангах, цогц, шинэчлэлийг эхлүүлэх талаар судалж, холбогдох санал дүгнэлтийг боловсруулах чиг үүрэг бүхий ажлын хэсгийг байгуулсан. Тус ажлын хэсэгт Санхүүгийн зохицуулах хорооны төлөөлөл орж ажилласан</w:t>
            </w:r>
            <w:r>
              <w:rPr>
                <w:rFonts w:ascii="Times New Roman" w:eastAsiaTheme="minorEastAsia" w:hAnsi="Times New Roman" w:cs="Times New Roman"/>
                <w:color w:val="000000" w:themeColor="text1"/>
                <w:sz w:val="22"/>
                <w:szCs w:val="22"/>
              </w:rPr>
              <w:t>.</w:t>
            </w:r>
            <w:r w:rsidRPr="00013EED">
              <w:rPr>
                <w:rFonts w:ascii="Times New Roman" w:eastAsiaTheme="minorEastAsia" w:hAnsi="Times New Roman" w:cs="Times New Roman"/>
                <w:color w:val="000000" w:themeColor="text1"/>
                <w:sz w:val="22"/>
                <w:szCs w:val="22"/>
              </w:rPr>
              <w:t xml:space="preserve">  </w:t>
            </w:r>
            <w:r>
              <w:rPr>
                <w:rFonts w:ascii="Times New Roman" w:eastAsiaTheme="minorEastAsia" w:hAnsi="Times New Roman" w:cs="Times New Roman"/>
                <w:color w:val="000000" w:themeColor="text1"/>
                <w:sz w:val="22"/>
                <w:szCs w:val="22"/>
              </w:rPr>
              <w:t>А</w:t>
            </w:r>
            <w:r w:rsidRPr="00013EED">
              <w:rPr>
                <w:rFonts w:ascii="Times New Roman" w:eastAsiaTheme="minorEastAsia" w:hAnsi="Times New Roman" w:cs="Times New Roman"/>
                <w:color w:val="000000" w:themeColor="text1"/>
                <w:sz w:val="22"/>
                <w:szCs w:val="22"/>
              </w:rPr>
              <w:t xml:space="preserve">жлын хэсгээс хөрөнгийн зах зээлийн дэд бүтцийн байгууллагуудын арилжааны системийг цогцоор нь шинэчлэх, тендер зарлахаар санал, дүгнэлт гаргасан. </w:t>
            </w:r>
          </w:p>
          <w:p w14:paraId="3CFE796C" w14:textId="083A3FD5" w:rsidR="00802F3D" w:rsidRPr="00013EED" w:rsidRDefault="00802F3D" w:rsidP="00610976">
            <w:pPr>
              <w:jc w:val="both"/>
              <w:rPr>
                <w:rFonts w:ascii="Times New Roman" w:hAnsi="Times New Roman" w:cs="Times New Roman"/>
                <w:sz w:val="22"/>
                <w:szCs w:val="22"/>
              </w:rPr>
            </w:pPr>
            <w:r w:rsidRPr="00013EED">
              <w:rPr>
                <w:rFonts w:ascii="Times New Roman" w:hAnsi="Times New Roman" w:cs="Times New Roman"/>
                <w:color w:val="000000" w:themeColor="text1"/>
                <w:sz w:val="22"/>
                <w:szCs w:val="22"/>
              </w:rPr>
              <w:t xml:space="preserve">Монгол Улсын Сангийн сайдын 2025 оны 11 дүгээр сарын 07-ны өдрийн 193 дугаар тушаалаар “Монголын үнэт цаасны клирингийн төв” ХХК-ийг “Үнэт цаасны төвлөрсөн хадгаламжийн төв” ХХК-д нэгтгэх арга хэмжээг хэрэгжүүлэх ажлын хэсгийг байгуулсан ба ажлын хэсэгт </w:t>
            </w:r>
            <w:r>
              <w:rPr>
                <w:rFonts w:ascii="Times New Roman" w:hAnsi="Times New Roman" w:cs="Times New Roman"/>
                <w:color w:val="000000" w:themeColor="text1"/>
                <w:sz w:val="22"/>
                <w:szCs w:val="22"/>
              </w:rPr>
              <w:t xml:space="preserve">Үнэт </w:t>
            </w:r>
            <w:r>
              <w:rPr>
                <w:rFonts w:ascii="Times New Roman" w:hAnsi="Times New Roman" w:cs="Times New Roman"/>
                <w:color w:val="000000" w:themeColor="text1"/>
                <w:sz w:val="22"/>
                <w:szCs w:val="22"/>
              </w:rPr>
              <w:lastRenderedPageBreak/>
              <w:t>цаасны газр</w:t>
            </w:r>
            <w:r w:rsidRPr="00013EED">
              <w:rPr>
                <w:rFonts w:ascii="Times New Roman" w:hAnsi="Times New Roman" w:cs="Times New Roman"/>
                <w:color w:val="000000" w:themeColor="text1"/>
                <w:sz w:val="22"/>
                <w:szCs w:val="22"/>
              </w:rPr>
              <w:t>аас төлөөлөл орж ажиллаж байна.</w:t>
            </w:r>
          </w:p>
        </w:tc>
        <w:tc>
          <w:tcPr>
            <w:tcW w:w="1418" w:type="dxa"/>
          </w:tcPr>
          <w:p w14:paraId="0984F1CA" w14:textId="2F0CE30B" w:rsidR="00802F3D" w:rsidRPr="00013EED" w:rsidRDefault="00802F3D" w:rsidP="00610976">
            <w:pPr>
              <w:jc w:val="center"/>
              <w:rPr>
                <w:rFonts w:ascii="Times New Roman" w:hAnsi="Times New Roman" w:cs="Times New Roman"/>
                <w:sz w:val="22"/>
                <w:szCs w:val="22"/>
              </w:rPr>
            </w:pPr>
          </w:p>
        </w:tc>
        <w:tc>
          <w:tcPr>
            <w:tcW w:w="1134" w:type="dxa"/>
          </w:tcPr>
          <w:p w14:paraId="4C3C85C9" w14:textId="77777777" w:rsidR="00802F3D" w:rsidRPr="00013EED" w:rsidRDefault="00802F3D" w:rsidP="00610976">
            <w:pPr>
              <w:jc w:val="center"/>
              <w:rPr>
                <w:rFonts w:ascii="Times New Roman" w:hAnsi="Times New Roman" w:cs="Times New Roman"/>
                <w:sz w:val="22"/>
                <w:szCs w:val="22"/>
              </w:rPr>
            </w:pPr>
          </w:p>
        </w:tc>
        <w:tc>
          <w:tcPr>
            <w:tcW w:w="1276" w:type="dxa"/>
          </w:tcPr>
          <w:p w14:paraId="48E53AB9" w14:textId="77777777" w:rsidR="00802F3D" w:rsidRPr="00013EED" w:rsidRDefault="00802F3D" w:rsidP="00610976">
            <w:pPr>
              <w:jc w:val="center"/>
              <w:rPr>
                <w:rFonts w:ascii="Times New Roman" w:hAnsi="Times New Roman" w:cs="Times New Roman"/>
                <w:sz w:val="22"/>
                <w:szCs w:val="22"/>
              </w:rPr>
            </w:pPr>
          </w:p>
        </w:tc>
        <w:tc>
          <w:tcPr>
            <w:tcW w:w="850" w:type="dxa"/>
          </w:tcPr>
          <w:p w14:paraId="5804D1B8" w14:textId="660EF7C9" w:rsidR="00802F3D" w:rsidRPr="00013EED" w:rsidRDefault="00802F3D" w:rsidP="00610976">
            <w:pPr>
              <w:jc w:val="center"/>
              <w:rPr>
                <w:rFonts w:ascii="Times New Roman" w:hAnsi="Times New Roman" w:cs="Times New Roman"/>
                <w:sz w:val="22"/>
                <w:szCs w:val="22"/>
              </w:rPr>
            </w:pPr>
            <w:r>
              <w:rPr>
                <w:rFonts w:ascii="Times New Roman" w:hAnsi="Times New Roman" w:cs="Times New Roman"/>
                <w:sz w:val="22"/>
                <w:szCs w:val="22"/>
              </w:rPr>
              <w:t>80</w:t>
            </w:r>
          </w:p>
        </w:tc>
      </w:tr>
      <w:tr w:rsidR="00802F3D" w:rsidRPr="00013EED" w14:paraId="66F028F9" w14:textId="4BEE5676" w:rsidTr="00226922">
        <w:tc>
          <w:tcPr>
            <w:tcW w:w="710" w:type="dxa"/>
            <w:vMerge/>
          </w:tcPr>
          <w:p w14:paraId="3CF768B2" w14:textId="77777777" w:rsidR="00802F3D" w:rsidRPr="00013EED" w:rsidRDefault="00802F3D" w:rsidP="00610976">
            <w:pPr>
              <w:jc w:val="center"/>
              <w:rPr>
                <w:rFonts w:ascii="Times New Roman" w:hAnsi="Times New Roman" w:cs="Times New Roman"/>
                <w:sz w:val="22"/>
                <w:szCs w:val="22"/>
              </w:rPr>
            </w:pPr>
          </w:p>
        </w:tc>
        <w:tc>
          <w:tcPr>
            <w:tcW w:w="1984" w:type="dxa"/>
            <w:vMerge/>
          </w:tcPr>
          <w:p w14:paraId="7A7843EF" w14:textId="77777777" w:rsidR="00802F3D" w:rsidRPr="00013EED" w:rsidRDefault="00802F3D" w:rsidP="00610976">
            <w:pPr>
              <w:jc w:val="center"/>
              <w:rPr>
                <w:rFonts w:ascii="Times New Roman" w:hAnsi="Times New Roman" w:cs="Times New Roman"/>
                <w:sz w:val="22"/>
                <w:szCs w:val="22"/>
              </w:rPr>
            </w:pPr>
          </w:p>
        </w:tc>
        <w:tc>
          <w:tcPr>
            <w:tcW w:w="1134" w:type="dxa"/>
          </w:tcPr>
          <w:p w14:paraId="72D32EC4" w14:textId="5C31CE4E" w:rsidR="00802F3D" w:rsidRPr="00013EED" w:rsidRDefault="00802F3D" w:rsidP="00610976">
            <w:pPr>
              <w:jc w:val="center"/>
              <w:rPr>
                <w:rFonts w:ascii="Times New Roman" w:hAnsi="Times New Roman" w:cs="Times New Roman"/>
                <w:sz w:val="22"/>
                <w:szCs w:val="22"/>
              </w:rPr>
            </w:pPr>
            <w:r w:rsidRPr="00013EED">
              <w:rPr>
                <w:rFonts w:ascii="Times New Roman" w:hAnsi="Times New Roman" w:cs="Times New Roman"/>
                <w:sz w:val="22"/>
                <w:szCs w:val="22"/>
                <w:lang w:bidi="mn-Mong-CN"/>
              </w:rPr>
              <w:t>3.1.3.10</w:t>
            </w:r>
          </w:p>
        </w:tc>
        <w:tc>
          <w:tcPr>
            <w:tcW w:w="1560" w:type="dxa"/>
          </w:tcPr>
          <w:p w14:paraId="2AB61AA7" w14:textId="7DC46545" w:rsidR="00802F3D" w:rsidRPr="00013EED" w:rsidRDefault="00802F3D" w:rsidP="00610976">
            <w:pPr>
              <w:jc w:val="both"/>
              <w:rPr>
                <w:rFonts w:ascii="Times New Roman" w:hAnsi="Times New Roman" w:cs="Times New Roman"/>
                <w:sz w:val="22"/>
                <w:szCs w:val="22"/>
              </w:rPr>
            </w:pPr>
            <w:r w:rsidRPr="00013EED">
              <w:rPr>
                <w:rFonts w:ascii="Times New Roman" w:eastAsia="Times New Roman" w:hAnsi="Times New Roman" w:cs="Times New Roman"/>
                <w:color w:val="333333"/>
                <w:sz w:val="22"/>
                <w:szCs w:val="22"/>
                <w:lang w:eastAsia="zh-CN" w:bidi="mn-Mong-CN"/>
              </w:rPr>
              <w:t>Хөрөнгийн зах зээлийн зохицуулалттай этгээдийн үйл ажиллагаанд шударга өрсөлдөөнийг бий болгож, жижиг хувьцаа эзэмшигчдийн эрх ашгийг хамгаалах тогтолцоог бүрдүүлнэ.</w:t>
            </w:r>
          </w:p>
        </w:tc>
        <w:tc>
          <w:tcPr>
            <w:tcW w:w="4110" w:type="dxa"/>
          </w:tcPr>
          <w:p w14:paraId="410E1F64" w14:textId="5908AAF1" w:rsidR="00802F3D" w:rsidRPr="00013EED" w:rsidRDefault="00802F3D" w:rsidP="00610976">
            <w:pPr>
              <w:jc w:val="both"/>
              <w:rPr>
                <w:rFonts w:ascii="Times New Roman" w:hAnsi="Times New Roman" w:cs="Times New Roman"/>
                <w:color w:val="000000" w:themeColor="text1"/>
                <w:sz w:val="22"/>
                <w:szCs w:val="22"/>
              </w:rPr>
            </w:pPr>
            <w:r w:rsidRPr="00013EED">
              <w:rPr>
                <w:rFonts w:ascii="Times New Roman" w:hAnsi="Times New Roman" w:cs="Times New Roman"/>
                <w:color w:val="000000" w:themeColor="text1"/>
                <w:sz w:val="22"/>
                <w:szCs w:val="22"/>
              </w:rPr>
              <w:t xml:space="preserve">Санхүүгийн зохицуулах хорооны 2018 оны 377 дугаар тогтоолын хавсралтаар “Хувьцаат компанийн хувьцаа эзэмшигчдийн хурлын зар хүргэх журам”-ыг батлан хувьцаат компани хувьцаа эзэмшигчдийн хурлаа цахимаар зохион байгуулахтай холбоотой нэмэлт, өөрчлөлтийг оруулсан бөгөөд жижиг хувьцаа эзэмшигчид хувьцаа эзэмшигчдийн хуралд цаг хугацаа, орон зайн хязгааргүйгээр цахимаар оролцож, хэлэлцэж буй асуудлаар болон төлөөлөн удирдах зөвлөлийн гишүүдийг томилоход санал өгөх замаар эрхээ хамгаалах боломжийг бүрдүүлсэн.  Санхүүгийн зохицуулах хорооны 2020 оны 880 дугаар тогтоолын хавсралтаар “Санал хураах кумулятив аргыг хэрэглэх журам”-ыг шинэчлэн баталж, жижиг хувьцаа эзэмшигчид нэгдэж төлөөлөн удирдах зөвлөлд өөрсдийн төлөөллийг сонгох боломжийг бий болгох зохицуулалтыг тусгасан. </w:t>
            </w:r>
          </w:p>
          <w:p w14:paraId="34703522" w14:textId="77777777" w:rsidR="00802F3D" w:rsidRPr="00013EED" w:rsidRDefault="00802F3D" w:rsidP="00610976">
            <w:pPr>
              <w:jc w:val="both"/>
              <w:rPr>
                <w:rFonts w:ascii="Times New Roman" w:hAnsi="Times New Roman" w:cs="Times New Roman"/>
                <w:color w:val="000000" w:themeColor="text1"/>
                <w:sz w:val="22"/>
                <w:szCs w:val="22"/>
              </w:rPr>
            </w:pPr>
            <w:r w:rsidRPr="00013EED">
              <w:rPr>
                <w:rFonts w:ascii="Times New Roman" w:hAnsi="Times New Roman" w:cs="Times New Roman"/>
                <w:color w:val="000000" w:themeColor="text1"/>
                <w:sz w:val="22"/>
                <w:szCs w:val="22"/>
              </w:rPr>
              <w:t>Санхүүгийн зохицуулах хорооны 2024 оны 49 дүгээр тогтоолоор “Ногдол ашиг тараах ажиллагааг нарийвчлан тогтоох тухай” журмыг шинэчлэн баталж санхүүгийн жил дууссанаас хойш дөрвөн сарын дотор ногдол ашгаа тарааж, ногдол ашиг хуваарилалтын тайланг ногдол ашиг хуваарилж дууссанаас хойш ажлын 15 өдрийн дотор Хороонд мэдээлэхээр зохицуулсан.</w:t>
            </w:r>
          </w:p>
          <w:p w14:paraId="4FB3288D" w14:textId="77777777" w:rsidR="00802F3D" w:rsidRPr="00013EED" w:rsidRDefault="00802F3D" w:rsidP="00610976">
            <w:pPr>
              <w:jc w:val="both"/>
              <w:rPr>
                <w:rFonts w:ascii="Times New Roman" w:hAnsi="Times New Roman" w:cs="Times New Roman"/>
                <w:color w:val="000000" w:themeColor="text1"/>
                <w:sz w:val="22"/>
                <w:szCs w:val="22"/>
              </w:rPr>
            </w:pPr>
            <w:r w:rsidRPr="00013EED">
              <w:rPr>
                <w:rFonts w:ascii="Times New Roman" w:hAnsi="Times New Roman" w:cs="Times New Roman"/>
                <w:color w:val="000000" w:themeColor="text1"/>
                <w:sz w:val="22"/>
                <w:szCs w:val="22"/>
              </w:rPr>
              <w:t xml:space="preserve">Жижиг хувьцаа эзэмшигчдийн эрх ашгийг хамгаалах зорилгоор Компанийн </w:t>
            </w:r>
            <w:r w:rsidRPr="00013EED">
              <w:rPr>
                <w:rFonts w:ascii="Times New Roman" w:hAnsi="Times New Roman" w:cs="Times New Roman"/>
                <w:color w:val="000000" w:themeColor="text1"/>
                <w:sz w:val="22"/>
                <w:szCs w:val="22"/>
              </w:rPr>
              <w:lastRenderedPageBreak/>
              <w:t>тухай хуульд 2024 оны 05 дугаар сарын 16-ны өдөр нэмэлт, өөрчлөлт оруулж, компанийн хувьцаа эзэмшигч нь дангаараа, эсхүл бусад хувьцаа эзэмшигчидтэй хамтран компанийн энгийн хувьцааны нэг буюу түүнээс дээш хувийг бүрдүүлж байгаа тохиолдолд компанид учруулсан хохирлыг компанийн эрх бүхий албан тушаалтнаар нөхөн төлүүлэхээр шүүхэд нэхэмжлэл гаргах эрхтэй байхаар зохицуулсан.</w:t>
            </w:r>
          </w:p>
          <w:p w14:paraId="12FF01F7" w14:textId="57EAA5E4" w:rsidR="00802F3D" w:rsidRPr="00013EED" w:rsidRDefault="00802F3D" w:rsidP="00610976">
            <w:pPr>
              <w:jc w:val="both"/>
              <w:rPr>
                <w:rFonts w:ascii="Times New Roman" w:hAnsi="Times New Roman" w:cs="Times New Roman"/>
                <w:color w:val="000000" w:themeColor="text1"/>
                <w:sz w:val="22"/>
                <w:szCs w:val="22"/>
              </w:rPr>
            </w:pPr>
            <w:r w:rsidRPr="00013EED">
              <w:rPr>
                <w:rFonts w:ascii="Times New Roman" w:hAnsi="Times New Roman" w:cs="Times New Roman"/>
                <w:color w:val="000000" w:themeColor="text1"/>
                <w:sz w:val="22"/>
                <w:szCs w:val="22"/>
              </w:rPr>
              <w:t xml:space="preserve"> Санхүүгийн зохицуулах хорооны 2022 оны 145 дугаар тогтоолоор батлагдсан “Компанийн засаглалын кодекс”-ийн 9 дүгээр зарчим болох хувьцаа эзэмшигчдийн эрх ашгийн 9.3-т жижиг хувьцаа эзэмшигчдийн төлөөлөн удирдах зөвлөлд төлөөллөө оруулах, мэдээлэл авах, хувьцаа эзэмшигчдийн хуралд санал оруулах, санал өгөх, шүүхэд гомдол гаргах эрх зэргийг хангах талаар бололцоо, нөхцлийг бүрдүүлж ажиллахыг тусгасан.</w:t>
            </w:r>
          </w:p>
          <w:p w14:paraId="27293F7A" w14:textId="5BFB2A3C" w:rsidR="00802F3D" w:rsidRPr="00013EED" w:rsidRDefault="00802F3D" w:rsidP="00610976">
            <w:pPr>
              <w:jc w:val="both"/>
              <w:rPr>
                <w:rFonts w:ascii="Times New Roman" w:hAnsi="Times New Roman" w:cs="Times New Roman"/>
                <w:sz w:val="22"/>
                <w:szCs w:val="22"/>
              </w:rPr>
            </w:pPr>
            <w:r w:rsidRPr="00013EED">
              <w:rPr>
                <w:rFonts w:ascii="Times New Roman" w:hAnsi="Times New Roman" w:cs="Times New Roman"/>
                <w:color w:val="000000" w:themeColor="text1"/>
                <w:sz w:val="22"/>
                <w:szCs w:val="22"/>
              </w:rPr>
              <w:t>Хорооны даргын 2025 оны 10 дугаар сарын 21-ний өдрийн 388 дугаар тушаалаар “Кастодианы үйл ажиллагаа эрхлэх эрх бүхий хуулийн этгээд хувьцаа эзэмшигчдийн эрхийг хэрэгжүүлэх боломжийг судлах хүрээнд холбогдох санал, дүгнэлт гаргах, шаардлагатай арга хэмжээг авч хэрэгжүүлэх чиг үүрэг бүхий ажлын хэсэг”-ийг байгуулж, холбогдох судалгааг боловсруулж, хэрэгжүүлэх боломжтой арга хэмжээний саналыг гарган ажилласан.</w:t>
            </w:r>
          </w:p>
        </w:tc>
        <w:tc>
          <w:tcPr>
            <w:tcW w:w="1418" w:type="dxa"/>
          </w:tcPr>
          <w:p w14:paraId="7474F7BF" w14:textId="54FF0AB3" w:rsidR="00802F3D" w:rsidRPr="00013EED" w:rsidRDefault="00802F3D" w:rsidP="00610976">
            <w:pPr>
              <w:jc w:val="center"/>
              <w:rPr>
                <w:rFonts w:ascii="Times New Roman" w:hAnsi="Times New Roman" w:cs="Times New Roman"/>
                <w:sz w:val="22"/>
                <w:szCs w:val="22"/>
              </w:rPr>
            </w:pPr>
          </w:p>
        </w:tc>
        <w:tc>
          <w:tcPr>
            <w:tcW w:w="1134" w:type="dxa"/>
          </w:tcPr>
          <w:p w14:paraId="46513EB7" w14:textId="77777777" w:rsidR="00802F3D" w:rsidRPr="00013EED" w:rsidRDefault="00802F3D" w:rsidP="00610976">
            <w:pPr>
              <w:jc w:val="center"/>
              <w:rPr>
                <w:rFonts w:ascii="Times New Roman" w:hAnsi="Times New Roman" w:cs="Times New Roman"/>
                <w:sz w:val="22"/>
                <w:szCs w:val="22"/>
              </w:rPr>
            </w:pPr>
          </w:p>
        </w:tc>
        <w:tc>
          <w:tcPr>
            <w:tcW w:w="1276" w:type="dxa"/>
          </w:tcPr>
          <w:p w14:paraId="35DFD4B6" w14:textId="6744C9CF" w:rsidR="00802F3D" w:rsidRPr="00013EED" w:rsidRDefault="00802F3D" w:rsidP="00610976">
            <w:pPr>
              <w:jc w:val="center"/>
              <w:rPr>
                <w:rFonts w:ascii="Times New Roman" w:hAnsi="Times New Roman" w:cs="Times New Roman"/>
                <w:sz w:val="22"/>
                <w:szCs w:val="22"/>
              </w:rPr>
            </w:pPr>
          </w:p>
        </w:tc>
        <w:tc>
          <w:tcPr>
            <w:tcW w:w="850" w:type="dxa"/>
          </w:tcPr>
          <w:p w14:paraId="1177C5CF" w14:textId="335F286D" w:rsidR="00802F3D" w:rsidRPr="00013EED" w:rsidRDefault="00802F3D" w:rsidP="00610976">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100</w:t>
            </w:r>
          </w:p>
        </w:tc>
      </w:tr>
      <w:tr w:rsidR="00802F3D" w:rsidRPr="00013EED" w14:paraId="771C6E63" w14:textId="3AEC60FA" w:rsidTr="00226922">
        <w:tc>
          <w:tcPr>
            <w:tcW w:w="710" w:type="dxa"/>
          </w:tcPr>
          <w:p w14:paraId="70A85857" w14:textId="77777777" w:rsidR="00802F3D" w:rsidRPr="00013EED" w:rsidRDefault="00802F3D" w:rsidP="00610976">
            <w:pPr>
              <w:jc w:val="center"/>
              <w:rPr>
                <w:rFonts w:ascii="Times New Roman" w:hAnsi="Times New Roman" w:cs="Times New Roman"/>
                <w:sz w:val="22"/>
                <w:szCs w:val="22"/>
              </w:rPr>
            </w:pPr>
          </w:p>
        </w:tc>
        <w:tc>
          <w:tcPr>
            <w:tcW w:w="12616" w:type="dxa"/>
            <w:gridSpan w:val="7"/>
          </w:tcPr>
          <w:p w14:paraId="759F30B4" w14:textId="3B13B81C" w:rsidR="00802F3D" w:rsidRPr="00222129" w:rsidRDefault="00802F3D" w:rsidP="00610976">
            <w:pPr>
              <w:jc w:val="center"/>
              <w:rPr>
                <w:rFonts w:ascii="Times New Roman" w:hAnsi="Times New Roman" w:cs="Times New Roman"/>
                <w:b/>
                <w:bCs/>
                <w:color w:val="000000" w:themeColor="text1"/>
                <w:sz w:val="22"/>
                <w:szCs w:val="22"/>
                <w:lang w:val="mn-MN"/>
              </w:rPr>
            </w:pPr>
            <w:r w:rsidRPr="00222129">
              <w:rPr>
                <w:rFonts w:ascii="Times New Roman" w:hAnsi="Times New Roman" w:cs="Times New Roman"/>
                <w:b/>
                <w:bCs/>
                <w:color w:val="000000" w:themeColor="text1"/>
                <w:sz w:val="22"/>
                <w:szCs w:val="22"/>
                <w:lang w:val="mn-MN"/>
              </w:rPr>
              <w:t>Хэсгийн дундаж хувь</w:t>
            </w:r>
            <w:r>
              <w:rPr>
                <w:rFonts w:ascii="Times New Roman" w:hAnsi="Times New Roman" w:cs="Times New Roman"/>
                <w:b/>
                <w:bCs/>
                <w:color w:val="000000" w:themeColor="text1"/>
                <w:sz w:val="22"/>
                <w:szCs w:val="22"/>
                <w:lang w:val="mn-MN"/>
              </w:rPr>
              <w:t>:86.7%</w:t>
            </w:r>
          </w:p>
        </w:tc>
        <w:tc>
          <w:tcPr>
            <w:tcW w:w="850" w:type="dxa"/>
          </w:tcPr>
          <w:p w14:paraId="19513B4D" w14:textId="77777777" w:rsidR="00802F3D" w:rsidRPr="00222129" w:rsidRDefault="00802F3D" w:rsidP="00610976">
            <w:pPr>
              <w:jc w:val="center"/>
              <w:rPr>
                <w:rFonts w:ascii="Times New Roman" w:hAnsi="Times New Roman" w:cs="Times New Roman"/>
                <w:b/>
                <w:bCs/>
                <w:color w:val="000000" w:themeColor="text1"/>
                <w:sz w:val="22"/>
                <w:szCs w:val="22"/>
                <w:lang w:val="mn-MN"/>
              </w:rPr>
            </w:pPr>
          </w:p>
        </w:tc>
      </w:tr>
    </w:tbl>
    <w:p w14:paraId="6F9AF63C" w14:textId="77777777" w:rsidR="00926FA9" w:rsidRPr="00013EED" w:rsidRDefault="00926FA9">
      <w:pPr>
        <w:rPr>
          <w:rFonts w:ascii="Times New Roman" w:hAnsi="Times New Roman" w:cs="Times New Roman"/>
          <w:sz w:val="22"/>
          <w:szCs w:val="22"/>
        </w:rPr>
      </w:pPr>
    </w:p>
    <w:sectPr w:rsidR="00926FA9" w:rsidRPr="00013EED" w:rsidSect="00096F32">
      <w:pgSz w:w="15840" w:h="12240" w:orient="landscape" w:code="1"/>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2A23"/>
    <w:multiLevelType w:val="hybridMultilevel"/>
    <w:tmpl w:val="802EE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DA158C"/>
    <w:multiLevelType w:val="hybridMultilevel"/>
    <w:tmpl w:val="1EFAA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D6293"/>
    <w:multiLevelType w:val="hybridMultilevel"/>
    <w:tmpl w:val="FFFFFFFF"/>
    <w:lvl w:ilvl="0" w:tplc="FFAAB756">
      <w:start w:val="1"/>
      <w:numFmt w:val="bullet"/>
      <w:lvlText w:val=""/>
      <w:lvlJc w:val="left"/>
      <w:pPr>
        <w:ind w:left="720" w:hanging="360"/>
      </w:pPr>
      <w:rPr>
        <w:rFonts w:ascii="Symbol" w:hAnsi="Symbol" w:hint="default"/>
      </w:rPr>
    </w:lvl>
    <w:lvl w:ilvl="1" w:tplc="FA24F70E">
      <w:start w:val="1"/>
      <w:numFmt w:val="bullet"/>
      <w:lvlText w:val="o"/>
      <w:lvlJc w:val="left"/>
      <w:pPr>
        <w:ind w:left="1440" w:hanging="360"/>
      </w:pPr>
      <w:rPr>
        <w:rFonts w:ascii="Courier New" w:hAnsi="Courier New" w:hint="default"/>
      </w:rPr>
    </w:lvl>
    <w:lvl w:ilvl="2" w:tplc="93AEEC28">
      <w:start w:val="1"/>
      <w:numFmt w:val="bullet"/>
      <w:lvlText w:val=""/>
      <w:lvlJc w:val="left"/>
      <w:pPr>
        <w:ind w:left="2160" w:hanging="360"/>
      </w:pPr>
      <w:rPr>
        <w:rFonts w:ascii="Wingdings" w:hAnsi="Wingdings" w:hint="default"/>
      </w:rPr>
    </w:lvl>
    <w:lvl w:ilvl="3" w:tplc="3B74450A">
      <w:start w:val="1"/>
      <w:numFmt w:val="bullet"/>
      <w:lvlText w:val=""/>
      <w:lvlJc w:val="left"/>
      <w:pPr>
        <w:ind w:left="2880" w:hanging="360"/>
      </w:pPr>
      <w:rPr>
        <w:rFonts w:ascii="Symbol" w:hAnsi="Symbol" w:hint="default"/>
      </w:rPr>
    </w:lvl>
    <w:lvl w:ilvl="4" w:tplc="12C45B1A">
      <w:start w:val="1"/>
      <w:numFmt w:val="bullet"/>
      <w:lvlText w:val="o"/>
      <w:lvlJc w:val="left"/>
      <w:pPr>
        <w:ind w:left="3600" w:hanging="360"/>
      </w:pPr>
      <w:rPr>
        <w:rFonts w:ascii="Courier New" w:hAnsi="Courier New" w:hint="default"/>
      </w:rPr>
    </w:lvl>
    <w:lvl w:ilvl="5" w:tplc="77BC059A">
      <w:start w:val="1"/>
      <w:numFmt w:val="bullet"/>
      <w:lvlText w:val=""/>
      <w:lvlJc w:val="left"/>
      <w:pPr>
        <w:ind w:left="4320" w:hanging="360"/>
      </w:pPr>
      <w:rPr>
        <w:rFonts w:ascii="Wingdings" w:hAnsi="Wingdings" w:hint="default"/>
      </w:rPr>
    </w:lvl>
    <w:lvl w:ilvl="6" w:tplc="32D45ED4">
      <w:start w:val="1"/>
      <w:numFmt w:val="bullet"/>
      <w:lvlText w:val=""/>
      <w:lvlJc w:val="left"/>
      <w:pPr>
        <w:ind w:left="5040" w:hanging="360"/>
      </w:pPr>
      <w:rPr>
        <w:rFonts w:ascii="Symbol" w:hAnsi="Symbol" w:hint="default"/>
      </w:rPr>
    </w:lvl>
    <w:lvl w:ilvl="7" w:tplc="6E96E2A0">
      <w:start w:val="1"/>
      <w:numFmt w:val="bullet"/>
      <w:lvlText w:val="o"/>
      <w:lvlJc w:val="left"/>
      <w:pPr>
        <w:ind w:left="5760" w:hanging="360"/>
      </w:pPr>
      <w:rPr>
        <w:rFonts w:ascii="Courier New" w:hAnsi="Courier New" w:hint="default"/>
      </w:rPr>
    </w:lvl>
    <w:lvl w:ilvl="8" w:tplc="AD66C812">
      <w:start w:val="1"/>
      <w:numFmt w:val="bullet"/>
      <w:lvlText w:val=""/>
      <w:lvlJc w:val="left"/>
      <w:pPr>
        <w:ind w:left="6480" w:hanging="360"/>
      </w:pPr>
      <w:rPr>
        <w:rFonts w:ascii="Wingdings" w:hAnsi="Wingdings" w:hint="default"/>
      </w:rPr>
    </w:lvl>
  </w:abstractNum>
  <w:num w:numId="1" w16cid:durableId="1917781495">
    <w:abstractNumId w:val="0"/>
  </w:num>
  <w:num w:numId="2" w16cid:durableId="601574867">
    <w:abstractNumId w:val="1"/>
  </w:num>
  <w:num w:numId="3" w16cid:durableId="44566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A9"/>
    <w:rsid w:val="00013EED"/>
    <w:rsid w:val="00031FBD"/>
    <w:rsid w:val="000816C7"/>
    <w:rsid w:val="00096F32"/>
    <w:rsid w:val="000F6BFE"/>
    <w:rsid w:val="001360F9"/>
    <w:rsid w:val="001A5298"/>
    <w:rsid w:val="001F2FB3"/>
    <w:rsid w:val="001F3B38"/>
    <w:rsid w:val="00222129"/>
    <w:rsid w:val="00226922"/>
    <w:rsid w:val="002B7CD3"/>
    <w:rsid w:val="0031115E"/>
    <w:rsid w:val="003229DD"/>
    <w:rsid w:val="003359E0"/>
    <w:rsid w:val="003500EB"/>
    <w:rsid w:val="003D3B7A"/>
    <w:rsid w:val="00407F3C"/>
    <w:rsid w:val="00522C7E"/>
    <w:rsid w:val="00526735"/>
    <w:rsid w:val="00551EBE"/>
    <w:rsid w:val="00610976"/>
    <w:rsid w:val="00641CA8"/>
    <w:rsid w:val="006679AC"/>
    <w:rsid w:val="006C2AFC"/>
    <w:rsid w:val="0077327A"/>
    <w:rsid w:val="00784B3D"/>
    <w:rsid w:val="007C7296"/>
    <w:rsid w:val="007D2E0E"/>
    <w:rsid w:val="00802F3D"/>
    <w:rsid w:val="00836EBB"/>
    <w:rsid w:val="00843D75"/>
    <w:rsid w:val="00864812"/>
    <w:rsid w:val="00895DB7"/>
    <w:rsid w:val="00897C97"/>
    <w:rsid w:val="008A4228"/>
    <w:rsid w:val="008C3EC5"/>
    <w:rsid w:val="008F4B44"/>
    <w:rsid w:val="00926FA9"/>
    <w:rsid w:val="0095048E"/>
    <w:rsid w:val="00964C70"/>
    <w:rsid w:val="00991793"/>
    <w:rsid w:val="009C5405"/>
    <w:rsid w:val="00A27759"/>
    <w:rsid w:val="00AA5108"/>
    <w:rsid w:val="00AF3E7D"/>
    <w:rsid w:val="00B04F7D"/>
    <w:rsid w:val="00BA5DE7"/>
    <w:rsid w:val="00BD6C3C"/>
    <w:rsid w:val="00BE1F57"/>
    <w:rsid w:val="00BF555F"/>
    <w:rsid w:val="00C15A4E"/>
    <w:rsid w:val="00C16178"/>
    <w:rsid w:val="00C3764B"/>
    <w:rsid w:val="00C424D4"/>
    <w:rsid w:val="00CC2EAA"/>
    <w:rsid w:val="00D24F42"/>
    <w:rsid w:val="00D40634"/>
    <w:rsid w:val="00D61253"/>
    <w:rsid w:val="00E7776A"/>
    <w:rsid w:val="00EC611D"/>
    <w:rsid w:val="00F24B60"/>
    <w:rsid w:val="00F654DA"/>
    <w:rsid w:val="00F8154E"/>
    <w:rsid w:val="00FD692B"/>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8D8B"/>
  <w15:chartTrackingRefBased/>
  <w15:docId w15:val="{24CCE1DD-0D97-430F-95E1-AF2E5C1C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926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F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F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FA9"/>
    <w:rPr>
      <w:rFonts w:eastAsiaTheme="majorEastAsia" w:cstheme="majorBidi"/>
      <w:color w:val="272727" w:themeColor="text1" w:themeTint="D8"/>
    </w:rPr>
  </w:style>
  <w:style w:type="paragraph" w:styleId="Title">
    <w:name w:val="Title"/>
    <w:basedOn w:val="Normal"/>
    <w:next w:val="Normal"/>
    <w:link w:val="TitleChar"/>
    <w:uiPriority w:val="10"/>
    <w:qFormat/>
    <w:rsid w:val="00926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FA9"/>
    <w:pPr>
      <w:spacing w:before="160"/>
      <w:jc w:val="center"/>
    </w:pPr>
    <w:rPr>
      <w:i/>
      <w:iCs/>
      <w:color w:val="404040" w:themeColor="text1" w:themeTint="BF"/>
    </w:rPr>
  </w:style>
  <w:style w:type="character" w:customStyle="1" w:styleId="QuoteChar">
    <w:name w:val="Quote Char"/>
    <w:basedOn w:val="DefaultParagraphFont"/>
    <w:link w:val="Quote"/>
    <w:uiPriority w:val="29"/>
    <w:rsid w:val="00926FA9"/>
    <w:rPr>
      <w:i/>
      <w:iCs/>
      <w:color w:val="404040" w:themeColor="text1" w:themeTint="BF"/>
    </w:rPr>
  </w:style>
  <w:style w:type="paragraph" w:styleId="ListParagraph">
    <w:name w:val="List Paragraph"/>
    <w:basedOn w:val="Normal"/>
    <w:uiPriority w:val="34"/>
    <w:qFormat/>
    <w:rsid w:val="00926FA9"/>
    <w:pPr>
      <w:ind w:left="720"/>
      <w:contextualSpacing/>
    </w:pPr>
  </w:style>
  <w:style w:type="character" w:styleId="IntenseEmphasis">
    <w:name w:val="Intense Emphasis"/>
    <w:basedOn w:val="DefaultParagraphFont"/>
    <w:uiPriority w:val="21"/>
    <w:qFormat/>
    <w:rsid w:val="00926FA9"/>
    <w:rPr>
      <w:i/>
      <w:iCs/>
      <w:color w:val="0F4761" w:themeColor="accent1" w:themeShade="BF"/>
    </w:rPr>
  </w:style>
  <w:style w:type="paragraph" w:styleId="IntenseQuote">
    <w:name w:val="Intense Quote"/>
    <w:basedOn w:val="Normal"/>
    <w:next w:val="Normal"/>
    <w:link w:val="IntenseQuoteChar"/>
    <w:uiPriority w:val="30"/>
    <w:qFormat/>
    <w:rsid w:val="00926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FA9"/>
    <w:rPr>
      <w:i/>
      <w:iCs/>
      <w:color w:val="0F4761" w:themeColor="accent1" w:themeShade="BF"/>
    </w:rPr>
  </w:style>
  <w:style w:type="character" w:styleId="IntenseReference">
    <w:name w:val="Intense Reference"/>
    <w:basedOn w:val="DefaultParagraphFont"/>
    <w:uiPriority w:val="32"/>
    <w:qFormat/>
    <w:rsid w:val="00926FA9"/>
    <w:rPr>
      <w:b/>
      <w:bCs/>
      <w:smallCaps/>
      <w:color w:val="0F4761" w:themeColor="accent1" w:themeShade="BF"/>
      <w:spacing w:val="5"/>
    </w:rPr>
  </w:style>
  <w:style w:type="table" w:styleId="TableGrid">
    <w:name w:val="Table Grid"/>
    <w:basedOn w:val="TableNormal"/>
    <w:uiPriority w:val="39"/>
    <w:rsid w:val="00926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6FA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979</TotalTime>
  <Pages>9</Pages>
  <Words>1525</Words>
  <Characters>10380</Characters>
  <Application>Microsoft Office Word</Application>
  <DocSecurity>0</DocSecurity>
  <Lines>495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Nyamjav Bayanbaglaa</dc:creator>
  <cp:keywords/>
  <dc:description/>
  <cp:lastModifiedBy>Nyamjav Bayanbaglaa</cp:lastModifiedBy>
  <cp:revision>37</cp:revision>
  <cp:lastPrinted>2025-12-18T07:07:00Z</cp:lastPrinted>
  <dcterms:created xsi:type="dcterms:W3CDTF">2025-12-04T02:15:00Z</dcterms:created>
  <dcterms:modified xsi:type="dcterms:W3CDTF">2026-01-22T03:04:00Z</dcterms:modified>
</cp:coreProperties>
</file>