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54C12" w14:textId="77777777" w:rsidR="00810118" w:rsidRPr="007774B2" w:rsidRDefault="00810118" w:rsidP="008B418B">
      <w:pPr>
        <w:spacing w:after="0" w:line="240" w:lineRule="auto"/>
        <w:jc w:val="right"/>
        <w:rPr>
          <w:rFonts w:ascii="Times New Roman" w:hAnsi="Times New Roman" w:cs="Times New Roman"/>
          <w:lang w:val="mn-MN" w:bidi="mn-Mong-CN"/>
        </w:rPr>
      </w:pPr>
      <w:r w:rsidRPr="007774B2">
        <w:rPr>
          <w:rFonts w:ascii="Times New Roman" w:hAnsi="Times New Roman" w:cs="Times New Roman"/>
          <w:lang w:val="mn-MN" w:bidi="mn-Mong-CN"/>
        </w:rPr>
        <w:t xml:space="preserve"> </w:t>
      </w:r>
      <w:bookmarkStart w:id="0" w:name="_Hlk154479471"/>
      <w:r w:rsidRPr="007774B2">
        <w:rPr>
          <w:rFonts w:ascii="Times New Roman" w:hAnsi="Times New Roman" w:cs="Times New Roman"/>
          <w:lang w:val="mn-MN" w:bidi="mn-Mong-CN"/>
        </w:rPr>
        <w:t xml:space="preserve">Санхүүгийн зохицуулах хорооны </w:t>
      </w:r>
    </w:p>
    <w:p w14:paraId="1C643ABD" w14:textId="77777777" w:rsidR="00810118" w:rsidRPr="007774B2" w:rsidRDefault="00810118" w:rsidP="008B418B">
      <w:pPr>
        <w:spacing w:after="0" w:line="240" w:lineRule="auto"/>
        <w:jc w:val="right"/>
        <w:rPr>
          <w:rFonts w:ascii="Times New Roman" w:hAnsi="Times New Roman" w:cs="Times New Roman"/>
          <w:lang w:val="mn-MN" w:bidi="mn-Mong-CN"/>
        </w:rPr>
      </w:pPr>
      <w:r w:rsidRPr="007774B2">
        <w:rPr>
          <w:rFonts w:ascii="Times New Roman" w:hAnsi="Times New Roman" w:cs="Times New Roman"/>
          <w:lang w:val="mn-MN" w:bidi="mn-Mong-CN"/>
        </w:rPr>
        <w:t>202</w:t>
      </w:r>
      <w:r w:rsidR="005A7FE9" w:rsidRPr="007774B2">
        <w:rPr>
          <w:rFonts w:ascii="Times New Roman" w:hAnsi="Times New Roman" w:cs="Times New Roman"/>
          <w:lang w:val="mn-MN" w:bidi="mn-Mong-CN"/>
        </w:rPr>
        <w:t>4</w:t>
      </w:r>
      <w:r w:rsidRPr="007774B2">
        <w:rPr>
          <w:rFonts w:ascii="Times New Roman" w:hAnsi="Times New Roman" w:cs="Times New Roman"/>
          <w:lang w:val="mn-MN" w:bidi="mn-Mong-CN"/>
        </w:rPr>
        <w:t xml:space="preserve"> оны </w:t>
      </w:r>
      <w:r w:rsidR="005A7FE9" w:rsidRPr="007774B2">
        <w:rPr>
          <w:rFonts w:ascii="Times New Roman" w:hAnsi="Times New Roman" w:cs="Times New Roman"/>
          <w:lang w:val="mn-MN" w:bidi="mn-Mong-CN"/>
        </w:rPr>
        <w:t>01</w:t>
      </w:r>
      <w:r w:rsidRPr="007774B2">
        <w:rPr>
          <w:rFonts w:ascii="Times New Roman" w:hAnsi="Times New Roman" w:cs="Times New Roman"/>
          <w:lang w:val="mn-MN" w:bidi="mn-Mong-CN"/>
        </w:rPr>
        <w:t xml:space="preserve"> д</w:t>
      </w:r>
      <w:r w:rsidR="005A7FE9" w:rsidRPr="007774B2">
        <w:rPr>
          <w:rFonts w:ascii="Times New Roman" w:hAnsi="Times New Roman" w:cs="Times New Roman"/>
          <w:lang w:val="mn-MN" w:bidi="mn-Mong-CN"/>
        </w:rPr>
        <w:t>үг</w:t>
      </w:r>
      <w:r w:rsidR="00083E0F" w:rsidRPr="007774B2">
        <w:rPr>
          <w:rFonts w:ascii="Times New Roman" w:hAnsi="Times New Roman" w:cs="Times New Roman"/>
          <w:lang w:val="mn-MN" w:bidi="mn-Mong-CN"/>
        </w:rPr>
        <w:t>э</w:t>
      </w:r>
      <w:r w:rsidR="005A7FE9" w:rsidRPr="007774B2">
        <w:rPr>
          <w:rFonts w:ascii="Times New Roman" w:hAnsi="Times New Roman" w:cs="Times New Roman"/>
          <w:lang w:val="mn-MN" w:bidi="mn-Mong-CN"/>
        </w:rPr>
        <w:t>эр</w:t>
      </w:r>
      <w:r w:rsidRPr="007774B2">
        <w:rPr>
          <w:rFonts w:ascii="Times New Roman" w:hAnsi="Times New Roman" w:cs="Times New Roman"/>
          <w:lang w:val="mn-MN" w:bidi="mn-Mong-CN"/>
        </w:rPr>
        <w:t xml:space="preserve"> сарын </w:t>
      </w:r>
      <w:r w:rsidR="004D62CF" w:rsidRPr="007774B2">
        <w:rPr>
          <w:rFonts w:ascii="Times New Roman" w:hAnsi="Times New Roman" w:cs="Times New Roman"/>
          <w:lang w:val="mn-MN" w:bidi="mn-Mong-CN"/>
        </w:rPr>
        <w:t xml:space="preserve">... </w:t>
      </w:r>
      <w:r w:rsidRPr="007774B2">
        <w:rPr>
          <w:rFonts w:ascii="Times New Roman" w:hAnsi="Times New Roman" w:cs="Times New Roman"/>
          <w:lang w:val="mn-MN" w:bidi="mn-Mong-CN"/>
        </w:rPr>
        <w:t>-ны өдрийн</w:t>
      </w:r>
    </w:p>
    <w:p w14:paraId="4C2E233A" w14:textId="77777777" w:rsidR="00810118" w:rsidRPr="007774B2" w:rsidRDefault="00810118" w:rsidP="008B418B">
      <w:pPr>
        <w:spacing w:after="0" w:line="240" w:lineRule="auto"/>
        <w:jc w:val="right"/>
        <w:rPr>
          <w:rFonts w:ascii="Times New Roman" w:hAnsi="Times New Roman" w:cs="Times New Roman"/>
          <w:lang w:val="mn-MN" w:bidi="mn-Mong-CN"/>
        </w:rPr>
      </w:pPr>
      <w:r w:rsidRPr="007774B2">
        <w:rPr>
          <w:rFonts w:ascii="Times New Roman" w:hAnsi="Times New Roman" w:cs="Times New Roman"/>
          <w:lang w:val="mn-MN" w:bidi="mn-Mong-CN"/>
        </w:rPr>
        <w:t xml:space="preserve">  ...  тоот албан бичгийн хавсралт</w:t>
      </w:r>
    </w:p>
    <w:bookmarkEnd w:id="0"/>
    <w:p w14:paraId="210A3540" w14:textId="5A1FA9DB" w:rsidR="00810118" w:rsidRPr="007774B2" w:rsidRDefault="00810118" w:rsidP="008B418B">
      <w:pPr>
        <w:spacing w:after="0" w:line="240" w:lineRule="auto"/>
        <w:jc w:val="right"/>
        <w:rPr>
          <w:rFonts w:ascii="Times New Roman" w:hAnsi="Times New Roman" w:cs="Times New Roman"/>
          <w:lang w:val="mn-MN" w:bidi="mn-Mong-CN"/>
        </w:rPr>
      </w:pPr>
    </w:p>
    <w:p w14:paraId="0BC40B75" w14:textId="77777777" w:rsidR="00EE7EF9" w:rsidRPr="007774B2" w:rsidRDefault="00EE7EF9" w:rsidP="008B418B">
      <w:pPr>
        <w:spacing w:after="0" w:line="240" w:lineRule="auto"/>
        <w:jc w:val="right"/>
        <w:rPr>
          <w:rFonts w:ascii="Times New Roman" w:hAnsi="Times New Roman" w:cs="Times New Roman"/>
          <w:lang w:val="mn-MN" w:bidi="mn-Mong-CN"/>
        </w:rPr>
      </w:pPr>
    </w:p>
    <w:p w14:paraId="1FA98F2D" w14:textId="77777777" w:rsidR="006130DD" w:rsidRPr="007774B2" w:rsidRDefault="006130DD" w:rsidP="008B418B">
      <w:pPr>
        <w:spacing w:after="0" w:line="240" w:lineRule="auto"/>
        <w:jc w:val="center"/>
        <w:rPr>
          <w:rFonts w:ascii="Times New Roman" w:hAnsi="Times New Roman" w:cs="Times New Roman"/>
          <w:b/>
          <w:bCs/>
          <w:lang w:val="mn-MN" w:bidi="mn-Mong-CN"/>
        </w:rPr>
      </w:pPr>
      <w:bookmarkStart w:id="1" w:name="_Hlk156499108"/>
      <w:r w:rsidRPr="007774B2">
        <w:rPr>
          <w:rFonts w:ascii="Times New Roman" w:hAnsi="Times New Roman" w:cs="Times New Roman"/>
          <w:b/>
          <w:bCs/>
          <w:lang w:val="mn-MN" w:bidi="mn-Mong-CN"/>
        </w:rPr>
        <w:t>МОНГОЛ УЛСЫН ЗАСГИЙН ГАЗРЫН 2020-2024 ОНЫ ҮЙЛ АЖИЛЛАГААНЫ ХӨТӨЛБӨРИЙГ ХЭРЭГЖҮҮЛЭХ</w:t>
      </w:r>
    </w:p>
    <w:p w14:paraId="46E66A4B" w14:textId="50740E34" w:rsidR="00AF6668" w:rsidRDefault="006130DD" w:rsidP="008B418B">
      <w:pPr>
        <w:spacing w:after="0" w:line="240" w:lineRule="auto"/>
        <w:jc w:val="center"/>
        <w:rPr>
          <w:rFonts w:ascii="Times New Roman" w:hAnsi="Times New Roman" w:cs="Times New Roman"/>
          <w:b/>
          <w:bCs/>
          <w:lang w:val="mn-MN" w:bidi="mn-Mong-CN"/>
        </w:rPr>
      </w:pPr>
      <w:r w:rsidRPr="007774B2">
        <w:rPr>
          <w:rFonts w:ascii="Times New Roman" w:hAnsi="Times New Roman" w:cs="Times New Roman"/>
          <w:b/>
          <w:bCs/>
          <w:lang w:val="mn-MN" w:bidi="mn-Mong-CN"/>
        </w:rPr>
        <w:t xml:space="preserve"> АРГА ХЭМЖЭЭНИЙ ТӨЛӨВЛӨГӨӨНИЙ </w:t>
      </w:r>
      <w:r w:rsidR="007D2F24" w:rsidRPr="007774B2">
        <w:rPr>
          <w:rFonts w:ascii="Times New Roman" w:hAnsi="Times New Roman" w:cs="Times New Roman"/>
          <w:b/>
          <w:bCs/>
          <w:lang w:val="mn-MN" w:bidi="mn-Mong-CN"/>
        </w:rPr>
        <w:t xml:space="preserve">2023 ОНЫ </w:t>
      </w:r>
      <w:r w:rsidR="00151893" w:rsidRPr="007774B2">
        <w:rPr>
          <w:rFonts w:ascii="Times New Roman" w:hAnsi="Times New Roman" w:cs="Times New Roman"/>
          <w:b/>
          <w:bCs/>
          <w:lang w:val="mn-MN" w:bidi="mn-Mong-CN"/>
        </w:rPr>
        <w:t>ХЭРЭГЖИЛТ</w:t>
      </w:r>
    </w:p>
    <w:p w14:paraId="0F51BB8F" w14:textId="77777777" w:rsidR="00915929" w:rsidRPr="007774B2" w:rsidRDefault="00915929" w:rsidP="008B418B">
      <w:pPr>
        <w:spacing w:after="0" w:line="240" w:lineRule="auto"/>
        <w:jc w:val="center"/>
        <w:rPr>
          <w:rFonts w:ascii="Times New Roman" w:hAnsi="Times New Roman" w:cs="Times New Roman"/>
          <w:lang w:val="mn-MN" w:bidi="mn-Mong-CN"/>
        </w:rPr>
      </w:pPr>
    </w:p>
    <w:p w14:paraId="3F4651A6" w14:textId="77777777" w:rsidR="005E6513" w:rsidRPr="007774B2" w:rsidRDefault="005E6513" w:rsidP="008B418B">
      <w:pPr>
        <w:spacing w:after="0" w:line="240" w:lineRule="auto"/>
        <w:jc w:val="center"/>
        <w:rPr>
          <w:rFonts w:ascii="Times New Roman" w:hAnsi="Times New Roman" w:cs="Times New Roman"/>
          <w:lang w:val="mn-MN" w:bidi="mn-Mong-CN"/>
        </w:rPr>
      </w:pPr>
    </w:p>
    <w:tbl>
      <w:tblPr>
        <w:tblStyle w:val="TableGrid"/>
        <w:tblW w:w="14459" w:type="dxa"/>
        <w:tblInd w:w="-856" w:type="dxa"/>
        <w:tblLayout w:type="fixed"/>
        <w:tblLook w:val="04A0" w:firstRow="1" w:lastRow="0" w:firstColumn="1" w:lastColumn="0" w:noHBand="0" w:noVBand="1"/>
      </w:tblPr>
      <w:tblGrid>
        <w:gridCol w:w="425"/>
        <w:gridCol w:w="852"/>
        <w:gridCol w:w="567"/>
        <w:gridCol w:w="141"/>
        <w:gridCol w:w="567"/>
        <w:gridCol w:w="851"/>
        <w:gridCol w:w="850"/>
        <w:gridCol w:w="993"/>
        <w:gridCol w:w="1559"/>
        <w:gridCol w:w="1417"/>
        <w:gridCol w:w="851"/>
        <w:gridCol w:w="850"/>
        <w:gridCol w:w="4536"/>
      </w:tblGrid>
      <w:tr w:rsidR="00A57AE7" w:rsidRPr="007774B2" w14:paraId="271EDD9E" w14:textId="77777777" w:rsidTr="008D2832">
        <w:trPr>
          <w:trHeight w:val="850"/>
        </w:trPr>
        <w:tc>
          <w:tcPr>
            <w:tcW w:w="425" w:type="dxa"/>
            <w:vMerge w:val="restart"/>
            <w:vAlign w:val="center"/>
          </w:tcPr>
          <w:p w14:paraId="10889AE3" w14:textId="77777777" w:rsidR="00760653" w:rsidRPr="007774B2" w:rsidRDefault="00760653" w:rsidP="00D23154">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w:t>
            </w:r>
          </w:p>
        </w:tc>
        <w:tc>
          <w:tcPr>
            <w:tcW w:w="852" w:type="dxa"/>
            <w:vMerge w:val="restart"/>
            <w:tcBorders>
              <w:top w:val="single" w:sz="8" w:space="0" w:color="000000"/>
              <w:left w:val="single" w:sz="8" w:space="0" w:color="auto"/>
              <w:right w:val="nil"/>
            </w:tcBorders>
            <w:shd w:val="clear" w:color="auto" w:fill="auto"/>
            <w:textDirection w:val="btLr"/>
            <w:vAlign w:val="center"/>
          </w:tcPr>
          <w:p w14:paraId="14A113A9" w14:textId="77777777" w:rsidR="00A920F4" w:rsidRPr="007774B2" w:rsidRDefault="00760653" w:rsidP="00D23154">
            <w:pPr>
              <w:ind w:left="-57" w:right="-57"/>
              <w:jc w:val="center"/>
              <w:rPr>
                <w:rFonts w:ascii="Times New Roman" w:hAnsi="Times New Roman" w:cs="Times New Roman"/>
              </w:rPr>
            </w:pPr>
            <w:r w:rsidRPr="007774B2">
              <w:rPr>
                <w:rFonts w:ascii="Times New Roman" w:hAnsi="Times New Roman" w:cs="Times New Roman"/>
              </w:rPr>
              <w:t xml:space="preserve">ХБТББ*-т </w:t>
            </w:r>
            <w:proofErr w:type="spellStart"/>
            <w:r w:rsidRPr="007774B2">
              <w:rPr>
                <w:rFonts w:ascii="Times New Roman" w:hAnsi="Times New Roman" w:cs="Times New Roman"/>
              </w:rPr>
              <w:t>тусгагдсан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зорилт</w:t>
            </w:r>
            <w:proofErr w:type="spellEnd"/>
          </w:p>
          <w:p w14:paraId="63AAAF8F" w14:textId="54198401" w:rsidR="00760653"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үйл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ажиллагаа</w:t>
            </w:r>
            <w:proofErr w:type="spellEnd"/>
          </w:p>
        </w:tc>
        <w:tc>
          <w:tcPr>
            <w:tcW w:w="708" w:type="dxa"/>
            <w:gridSpan w:val="2"/>
            <w:vMerge w:val="restart"/>
            <w:tcBorders>
              <w:top w:val="single" w:sz="8" w:space="0" w:color="000000"/>
              <w:left w:val="single" w:sz="8" w:space="0" w:color="auto"/>
              <w:right w:val="nil"/>
            </w:tcBorders>
            <w:shd w:val="clear" w:color="auto" w:fill="auto"/>
            <w:textDirection w:val="btLr"/>
          </w:tcPr>
          <w:p w14:paraId="44140E31" w14:textId="507139B4" w:rsidR="00A920F4" w:rsidRPr="007774B2" w:rsidRDefault="00760653" w:rsidP="00A920F4">
            <w:pPr>
              <w:ind w:left="-57" w:right="-57"/>
              <w:jc w:val="center"/>
              <w:rPr>
                <w:rFonts w:ascii="Times New Roman" w:hAnsi="Times New Roman" w:cs="Times New Roman"/>
              </w:rPr>
            </w:pPr>
            <w:proofErr w:type="spellStart"/>
            <w:r w:rsidRPr="007774B2">
              <w:rPr>
                <w:rFonts w:ascii="Times New Roman" w:hAnsi="Times New Roman" w:cs="Times New Roman"/>
              </w:rPr>
              <w:t>Зорилтыг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хэрэгжүүлэх</w:t>
            </w:r>
            <w:proofErr w:type="spellEnd"/>
          </w:p>
          <w:p w14:paraId="261DEA86" w14:textId="19935441" w:rsidR="00760653" w:rsidRPr="007774B2" w:rsidRDefault="00760653" w:rsidP="00A920F4">
            <w:pPr>
              <w:ind w:left="-57" w:right="-57"/>
              <w:jc w:val="center"/>
              <w:rPr>
                <w:rFonts w:ascii="Times New Roman" w:hAnsi="Times New Roman" w:cs="Times New Roman"/>
              </w:rPr>
            </w:pPr>
            <w:proofErr w:type="spellStart"/>
            <w:r w:rsidRPr="007774B2">
              <w:rPr>
                <w:rFonts w:ascii="Times New Roman" w:hAnsi="Times New Roman" w:cs="Times New Roman"/>
              </w:rPr>
              <w:t>арга</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хэмжээ</w:t>
            </w:r>
            <w:proofErr w:type="spellEnd"/>
            <w:r w:rsidRPr="007774B2">
              <w:rPr>
                <w:rFonts w:ascii="Times New Roman" w:hAnsi="Times New Roman" w:cs="Times New Roman"/>
              </w:rPr>
              <w:t>**</w:t>
            </w:r>
          </w:p>
        </w:tc>
        <w:tc>
          <w:tcPr>
            <w:tcW w:w="567" w:type="dxa"/>
            <w:vMerge w:val="restart"/>
            <w:tcBorders>
              <w:top w:val="single" w:sz="8" w:space="0" w:color="000000"/>
              <w:left w:val="single" w:sz="8" w:space="0" w:color="auto"/>
              <w:right w:val="nil"/>
            </w:tcBorders>
            <w:shd w:val="clear" w:color="auto" w:fill="auto"/>
            <w:textDirection w:val="btLr"/>
            <w:vAlign w:val="center"/>
          </w:tcPr>
          <w:p w14:paraId="64BAEDE5" w14:textId="77777777" w:rsidR="00760653"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Хэрэгжих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хугацаа</w:t>
            </w:r>
            <w:proofErr w:type="spellEnd"/>
          </w:p>
        </w:tc>
        <w:tc>
          <w:tcPr>
            <w:tcW w:w="851" w:type="dxa"/>
            <w:vMerge w:val="restart"/>
            <w:tcBorders>
              <w:top w:val="single" w:sz="8" w:space="0" w:color="000000"/>
              <w:left w:val="single" w:sz="8" w:space="0" w:color="auto"/>
              <w:right w:val="nil"/>
            </w:tcBorders>
            <w:shd w:val="clear" w:color="auto" w:fill="auto"/>
            <w:textDirection w:val="btLr"/>
            <w:vAlign w:val="center"/>
          </w:tcPr>
          <w:p w14:paraId="66BA9D2F" w14:textId="77777777" w:rsidR="00A920F4"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Үндсэн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хэрэгжүүлэх</w:t>
            </w:r>
            <w:proofErr w:type="spellEnd"/>
            <w:r w:rsidRPr="007774B2">
              <w:rPr>
                <w:rFonts w:ascii="Times New Roman" w:hAnsi="Times New Roman" w:cs="Times New Roman"/>
              </w:rPr>
              <w:t xml:space="preserve"> </w:t>
            </w:r>
          </w:p>
          <w:p w14:paraId="72455483" w14:textId="027BE987" w:rsidR="00760653"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байгууллага</w:t>
            </w:r>
            <w:proofErr w:type="spellEnd"/>
          </w:p>
        </w:tc>
        <w:tc>
          <w:tcPr>
            <w:tcW w:w="850" w:type="dxa"/>
            <w:vMerge w:val="restart"/>
            <w:tcBorders>
              <w:top w:val="single" w:sz="8" w:space="0" w:color="000000"/>
              <w:left w:val="single" w:sz="8" w:space="0" w:color="auto"/>
              <w:right w:val="nil"/>
            </w:tcBorders>
            <w:shd w:val="clear" w:color="auto" w:fill="auto"/>
            <w:textDirection w:val="btLr"/>
            <w:vAlign w:val="center"/>
          </w:tcPr>
          <w:p w14:paraId="68C81C20" w14:textId="77777777" w:rsidR="00760653"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Эх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үүсвэр</w:t>
            </w:r>
            <w:proofErr w:type="spellEnd"/>
          </w:p>
        </w:tc>
        <w:tc>
          <w:tcPr>
            <w:tcW w:w="993" w:type="dxa"/>
            <w:vMerge w:val="restart"/>
            <w:tcBorders>
              <w:top w:val="single" w:sz="8" w:space="0" w:color="000000"/>
              <w:left w:val="single" w:sz="8" w:space="0" w:color="auto"/>
              <w:right w:val="single" w:sz="8" w:space="0" w:color="auto"/>
            </w:tcBorders>
            <w:shd w:val="clear" w:color="auto" w:fill="auto"/>
            <w:textDirection w:val="btLr"/>
            <w:vAlign w:val="center"/>
          </w:tcPr>
          <w:p w14:paraId="77F20432" w14:textId="77777777" w:rsidR="00A920F4"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Нийт</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хөрөнгийн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хэмжээ</w:t>
            </w:r>
            <w:proofErr w:type="spellEnd"/>
            <w:r w:rsidRPr="007774B2">
              <w:rPr>
                <w:rFonts w:ascii="Times New Roman" w:hAnsi="Times New Roman" w:cs="Times New Roman"/>
              </w:rPr>
              <w:t xml:space="preserve"> </w:t>
            </w:r>
          </w:p>
          <w:p w14:paraId="5FEBDF40" w14:textId="202CF64F" w:rsidR="00760653" w:rsidRPr="007774B2" w:rsidRDefault="00760653" w:rsidP="00D23154">
            <w:pPr>
              <w:ind w:left="-57" w:right="-57"/>
              <w:jc w:val="center"/>
              <w:rPr>
                <w:rFonts w:ascii="Times New Roman" w:hAnsi="Times New Roman" w:cs="Times New Roman"/>
              </w:rPr>
            </w:pPr>
            <w:r w:rsidRPr="007774B2">
              <w:rPr>
                <w:rFonts w:ascii="Times New Roman" w:hAnsi="Times New Roman" w:cs="Times New Roman"/>
              </w:rPr>
              <w:t>(</w:t>
            </w:r>
            <w:proofErr w:type="spellStart"/>
            <w:r w:rsidRPr="007774B2">
              <w:rPr>
                <w:rFonts w:ascii="Times New Roman" w:hAnsi="Times New Roman" w:cs="Times New Roman"/>
              </w:rPr>
              <w:t>сая</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төгрөг</w:t>
            </w:r>
            <w:proofErr w:type="spellEnd"/>
            <w:r w:rsidRPr="007774B2">
              <w:rPr>
                <w:rFonts w:ascii="Times New Roman" w:hAnsi="Times New Roman" w:cs="Times New Roman"/>
              </w:rPr>
              <w:t>)</w:t>
            </w:r>
          </w:p>
        </w:tc>
        <w:tc>
          <w:tcPr>
            <w:tcW w:w="1559" w:type="dxa"/>
            <w:vMerge w:val="restart"/>
            <w:tcBorders>
              <w:top w:val="single" w:sz="8" w:space="0" w:color="000000"/>
              <w:left w:val="single" w:sz="8" w:space="0" w:color="auto"/>
              <w:right w:val="single" w:sz="8" w:space="0" w:color="auto"/>
            </w:tcBorders>
            <w:shd w:val="clear" w:color="auto" w:fill="auto"/>
            <w:textDirection w:val="btLr"/>
            <w:vAlign w:val="center"/>
          </w:tcPr>
          <w:p w14:paraId="76E07C1A" w14:textId="77777777" w:rsidR="00760653"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Суурь</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түвшин</w:t>
            </w:r>
            <w:proofErr w:type="spellEnd"/>
          </w:p>
        </w:tc>
        <w:tc>
          <w:tcPr>
            <w:tcW w:w="3118" w:type="dxa"/>
            <w:gridSpan w:val="3"/>
            <w:tcBorders>
              <w:top w:val="single" w:sz="8" w:space="0" w:color="000000"/>
              <w:left w:val="single" w:sz="8" w:space="0" w:color="auto"/>
              <w:bottom w:val="single" w:sz="8" w:space="0" w:color="auto"/>
              <w:right w:val="nil"/>
            </w:tcBorders>
            <w:shd w:val="clear" w:color="auto" w:fill="auto"/>
          </w:tcPr>
          <w:p w14:paraId="1D05FA31" w14:textId="77777777" w:rsidR="00760653" w:rsidRPr="007774B2" w:rsidRDefault="00760653" w:rsidP="00D23154">
            <w:pPr>
              <w:ind w:left="-57" w:right="-57"/>
              <w:jc w:val="center"/>
              <w:rPr>
                <w:rFonts w:ascii="Times New Roman" w:hAnsi="Times New Roman" w:cs="Times New Roman"/>
              </w:rPr>
            </w:pPr>
            <w:proofErr w:type="spellStart"/>
            <w:r w:rsidRPr="007774B2">
              <w:rPr>
                <w:rFonts w:ascii="Times New Roman" w:hAnsi="Times New Roman" w:cs="Times New Roman"/>
              </w:rPr>
              <w:t>Зорилтот</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түвшин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дүн</w:t>
            </w:r>
            <w:proofErr w:type="spellEnd"/>
            <w:proofErr w:type="gramStart"/>
            <w:r w:rsidRPr="007774B2">
              <w:rPr>
                <w:rFonts w:ascii="Times New Roman" w:hAnsi="Times New Roman" w:cs="Times New Roman"/>
              </w:rPr>
              <w:t xml:space="preserve">   (</w:t>
            </w:r>
            <w:proofErr w:type="spellStart"/>
            <w:proofErr w:type="gramEnd"/>
            <w:r w:rsidRPr="007774B2">
              <w:rPr>
                <w:rFonts w:ascii="Times New Roman" w:hAnsi="Times New Roman" w:cs="Times New Roman"/>
              </w:rPr>
              <w:t>хөрөнгийн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хэмжээ</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эх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үүсвэр</w:t>
            </w:r>
            <w:proofErr w:type="spellEnd"/>
            <w:r w:rsidRPr="007774B2">
              <w:rPr>
                <w:rFonts w:ascii="Times New Roman" w:hAnsi="Times New Roman" w:cs="Times New Roman"/>
              </w:rPr>
              <w:t>)</w:t>
            </w:r>
          </w:p>
        </w:tc>
        <w:tc>
          <w:tcPr>
            <w:tcW w:w="4536" w:type="dxa"/>
            <w:vMerge w:val="restart"/>
            <w:vAlign w:val="center"/>
          </w:tcPr>
          <w:p w14:paraId="095BF050" w14:textId="77777777" w:rsidR="00760653" w:rsidRPr="007774B2" w:rsidRDefault="00151893" w:rsidP="00D23154">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Хэрэгжилт</w:t>
            </w:r>
          </w:p>
        </w:tc>
      </w:tr>
      <w:tr w:rsidR="00A57AE7" w:rsidRPr="007774B2" w14:paraId="76335F07" w14:textId="77777777" w:rsidTr="008D2832">
        <w:trPr>
          <w:trHeight w:val="1975"/>
        </w:trPr>
        <w:tc>
          <w:tcPr>
            <w:tcW w:w="425" w:type="dxa"/>
            <w:vMerge/>
            <w:vAlign w:val="center"/>
          </w:tcPr>
          <w:p w14:paraId="6628C4D9" w14:textId="77777777" w:rsidR="00760653" w:rsidRPr="007774B2" w:rsidRDefault="00760653" w:rsidP="00D23154">
            <w:pPr>
              <w:ind w:left="-57" w:right="-57"/>
              <w:jc w:val="center"/>
              <w:rPr>
                <w:rFonts w:ascii="Times New Roman" w:hAnsi="Times New Roman" w:cs="Times New Roman"/>
                <w:lang w:val="mn-MN" w:bidi="mn-Mong-CN"/>
              </w:rPr>
            </w:pPr>
          </w:p>
        </w:tc>
        <w:tc>
          <w:tcPr>
            <w:tcW w:w="852" w:type="dxa"/>
            <w:vMerge/>
            <w:tcBorders>
              <w:left w:val="single" w:sz="8" w:space="0" w:color="auto"/>
              <w:bottom w:val="single" w:sz="8" w:space="0" w:color="000000"/>
              <w:right w:val="nil"/>
            </w:tcBorders>
            <w:shd w:val="clear" w:color="auto" w:fill="auto"/>
            <w:textDirection w:val="btLr"/>
            <w:vAlign w:val="center"/>
          </w:tcPr>
          <w:p w14:paraId="4514997D" w14:textId="77777777" w:rsidR="00760653" w:rsidRPr="007774B2" w:rsidRDefault="00760653" w:rsidP="00D23154">
            <w:pPr>
              <w:ind w:left="-57" w:right="-57"/>
              <w:jc w:val="center"/>
              <w:rPr>
                <w:rFonts w:ascii="Times New Roman" w:hAnsi="Times New Roman" w:cs="Times New Roman"/>
              </w:rPr>
            </w:pPr>
          </w:p>
        </w:tc>
        <w:tc>
          <w:tcPr>
            <w:tcW w:w="708" w:type="dxa"/>
            <w:gridSpan w:val="2"/>
            <w:vMerge/>
            <w:tcBorders>
              <w:left w:val="single" w:sz="8" w:space="0" w:color="auto"/>
              <w:bottom w:val="single" w:sz="8" w:space="0" w:color="000000"/>
              <w:right w:val="nil"/>
            </w:tcBorders>
            <w:shd w:val="clear" w:color="auto" w:fill="auto"/>
            <w:textDirection w:val="btLr"/>
            <w:vAlign w:val="center"/>
          </w:tcPr>
          <w:p w14:paraId="42513663" w14:textId="77777777" w:rsidR="00760653" w:rsidRPr="007774B2" w:rsidRDefault="00760653" w:rsidP="00D23154">
            <w:pPr>
              <w:ind w:left="-57" w:right="-57"/>
              <w:jc w:val="center"/>
              <w:rPr>
                <w:rFonts w:ascii="Times New Roman" w:hAnsi="Times New Roman" w:cs="Times New Roman"/>
              </w:rPr>
            </w:pPr>
          </w:p>
        </w:tc>
        <w:tc>
          <w:tcPr>
            <w:tcW w:w="567" w:type="dxa"/>
            <w:vMerge/>
            <w:tcBorders>
              <w:left w:val="single" w:sz="8" w:space="0" w:color="auto"/>
              <w:bottom w:val="single" w:sz="8" w:space="0" w:color="000000"/>
              <w:right w:val="nil"/>
            </w:tcBorders>
            <w:shd w:val="clear" w:color="auto" w:fill="auto"/>
            <w:textDirection w:val="btLr"/>
            <w:vAlign w:val="center"/>
          </w:tcPr>
          <w:p w14:paraId="40A055F9" w14:textId="77777777" w:rsidR="00760653" w:rsidRPr="007774B2" w:rsidRDefault="00760653" w:rsidP="00D23154">
            <w:pPr>
              <w:ind w:left="-57" w:right="-57"/>
              <w:jc w:val="center"/>
              <w:rPr>
                <w:rFonts w:ascii="Times New Roman" w:hAnsi="Times New Roman" w:cs="Times New Roman"/>
              </w:rPr>
            </w:pPr>
          </w:p>
        </w:tc>
        <w:tc>
          <w:tcPr>
            <w:tcW w:w="851" w:type="dxa"/>
            <w:vMerge/>
            <w:tcBorders>
              <w:left w:val="single" w:sz="8" w:space="0" w:color="auto"/>
              <w:bottom w:val="single" w:sz="8" w:space="0" w:color="000000"/>
              <w:right w:val="nil"/>
            </w:tcBorders>
            <w:shd w:val="clear" w:color="auto" w:fill="auto"/>
            <w:textDirection w:val="btLr"/>
            <w:vAlign w:val="center"/>
          </w:tcPr>
          <w:p w14:paraId="620EFB69" w14:textId="77777777" w:rsidR="00760653" w:rsidRPr="007774B2" w:rsidRDefault="00760653" w:rsidP="00D23154">
            <w:pPr>
              <w:ind w:left="-57" w:right="-57"/>
              <w:jc w:val="center"/>
              <w:rPr>
                <w:rFonts w:ascii="Times New Roman" w:hAnsi="Times New Roman" w:cs="Times New Roman"/>
              </w:rPr>
            </w:pPr>
          </w:p>
        </w:tc>
        <w:tc>
          <w:tcPr>
            <w:tcW w:w="850" w:type="dxa"/>
            <w:vMerge/>
            <w:tcBorders>
              <w:left w:val="single" w:sz="8" w:space="0" w:color="auto"/>
              <w:bottom w:val="single" w:sz="8" w:space="0" w:color="000000"/>
              <w:right w:val="nil"/>
            </w:tcBorders>
            <w:shd w:val="clear" w:color="auto" w:fill="auto"/>
            <w:textDirection w:val="btLr"/>
            <w:vAlign w:val="center"/>
          </w:tcPr>
          <w:p w14:paraId="73CFCFB2" w14:textId="77777777" w:rsidR="00760653" w:rsidRPr="007774B2" w:rsidRDefault="00760653" w:rsidP="00D23154">
            <w:pPr>
              <w:ind w:left="-57" w:right="-57"/>
              <w:jc w:val="center"/>
              <w:rPr>
                <w:rFonts w:ascii="Times New Roman" w:hAnsi="Times New Roman" w:cs="Times New Roman"/>
              </w:rPr>
            </w:pPr>
          </w:p>
        </w:tc>
        <w:tc>
          <w:tcPr>
            <w:tcW w:w="993" w:type="dxa"/>
            <w:vMerge/>
            <w:tcBorders>
              <w:left w:val="single" w:sz="8" w:space="0" w:color="auto"/>
              <w:bottom w:val="single" w:sz="8" w:space="0" w:color="000000"/>
              <w:right w:val="single" w:sz="8" w:space="0" w:color="auto"/>
            </w:tcBorders>
            <w:shd w:val="clear" w:color="auto" w:fill="auto"/>
            <w:textDirection w:val="btLr"/>
            <w:vAlign w:val="center"/>
          </w:tcPr>
          <w:p w14:paraId="065FD6BB" w14:textId="77777777" w:rsidR="00760653" w:rsidRPr="007774B2" w:rsidRDefault="00760653" w:rsidP="00D23154">
            <w:pPr>
              <w:ind w:left="-57" w:right="-57"/>
              <w:jc w:val="center"/>
              <w:rPr>
                <w:rFonts w:ascii="Times New Roman" w:hAnsi="Times New Roman" w:cs="Times New Roman"/>
              </w:rPr>
            </w:pPr>
          </w:p>
        </w:tc>
        <w:tc>
          <w:tcPr>
            <w:tcW w:w="1559" w:type="dxa"/>
            <w:vMerge/>
            <w:tcBorders>
              <w:left w:val="single" w:sz="8" w:space="0" w:color="auto"/>
              <w:bottom w:val="single" w:sz="8" w:space="0" w:color="000000"/>
              <w:right w:val="single" w:sz="8" w:space="0" w:color="auto"/>
            </w:tcBorders>
            <w:shd w:val="clear" w:color="auto" w:fill="auto"/>
            <w:textDirection w:val="btLr"/>
            <w:vAlign w:val="center"/>
          </w:tcPr>
          <w:p w14:paraId="25BD692D" w14:textId="77777777" w:rsidR="00760653" w:rsidRPr="007774B2" w:rsidRDefault="00760653" w:rsidP="00D23154">
            <w:pPr>
              <w:ind w:left="-57" w:right="-57"/>
              <w:jc w:val="center"/>
              <w:rPr>
                <w:rFonts w:ascii="Times New Roman" w:hAnsi="Times New Roman" w:cs="Times New Roman"/>
              </w:rPr>
            </w:pPr>
          </w:p>
        </w:tc>
        <w:tc>
          <w:tcPr>
            <w:tcW w:w="1417" w:type="dxa"/>
            <w:tcBorders>
              <w:top w:val="single" w:sz="8" w:space="0" w:color="auto"/>
              <w:left w:val="single" w:sz="8" w:space="0" w:color="auto"/>
              <w:bottom w:val="single" w:sz="8" w:space="0" w:color="auto"/>
              <w:right w:val="single" w:sz="8" w:space="0" w:color="000000"/>
            </w:tcBorders>
            <w:shd w:val="clear" w:color="auto" w:fill="auto"/>
          </w:tcPr>
          <w:p w14:paraId="6E78A163" w14:textId="77777777" w:rsidR="00760653" w:rsidRPr="007774B2" w:rsidRDefault="00760653" w:rsidP="00D23154">
            <w:pPr>
              <w:ind w:left="-57" w:right="-57"/>
              <w:rPr>
                <w:rFonts w:ascii="Times New Roman" w:hAnsi="Times New Roman" w:cs="Times New Roman"/>
              </w:rPr>
            </w:pPr>
            <w:proofErr w:type="spellStart"/>
            <w:r w:rsidRPr="007774B2">
              <w:rPr>
                <w:rFonts w:ascii="Times New Roman" w:hAnsi="Times New Roman" w:cs="Times New Roman"/>
              </w:rPr>
              <w:t>Зорилтот</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түвшин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дүнгийн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үзүүлэлт</w:t>
            </w:r>
            <w:proofErr w:type="spellEnd"/>
          </w:p>
        </w:tc>
        <w:tc>
          <w:tcPr>
            <w:tcW w:w="851" w:type="dxa"/>
            <w:tcBorders>
              <w:top w:val="nil"/>
              <w:left w:val="nil"/>
              <w:bottom w:val="single" w:sz="8" w:space="0" w:color="auto"/>
              <w:right w:val="single" w:sz="8" w:space="0" w:color="auto"/>
            </w:tcBorders>
            <w:shd w:val="clear" w:color="auto" w:fill="auto"/>
          </w:tcPr>
          <w:p w14:paraId="0795AC00" w14:textId="77777777" w:rsidR="00A24466" w:rsidRPr="007774B2" w:rsidRDefault="00760653" w:rsidP="00D23154">
            <w:pPr>
              <w:ind w:left="-57" w:right="-57"/>
              <w:rPr>
                <w:rFonts w:ascii="Times New Roman" w:hAnsi="Times New Roman" w:cs="Times New Roman"/>
              </w:rPr>
            </w:pPr>
            <w:proofErr w:type="spellStart"/>
            <w:r w:rsidRPr="007774B2">
              <w:rPr>
                <w:rFonts w:ascii="Times New Roman" w:hAnsi="Times New Roman" w:cs="Times New Roman"/>
              </w:rPr>
              <w:t>Төсөв</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сая</w:t>
            </w:r>
            <w:proofErr w:type="spellEnd"/>
          </w:p>
          <w:p w14:paraId="24D43C17" w14:textId="1886D492" w:rsidR="00760653" w:rsidRPr="007774B2" w:rsidRDefault="00760653" w:rsidP="00D23154">
            <w:pPr>
              <w:ind w:left="-57" w:right="-57"/>
              <w:rPr>
                <w:rFonts w:ascii="Times New Roman" w:hAnsi="Times New Roman" w:cs="Times New Roman"/>
              </w:rPr>
            </w:pPr>
            <w:proofErr w:type="spellStart"/>
            <w:r w:rsidRPr="007774B2">
              <w:rPr>
                <w:rFonts w:ascii="Times New Roman" w:hAnsi="Times New Roman" w:cs="Times New Roman"/>
              </w:rPr>
              <w:t>төг</w:t>
            </w:r>
            <w:proofErr w:type="spellEnd"/>
          </w:p>
        </w:tc>
        <w:tc>
          <w:tcPr>
            <w:tcW w:w="850" w:type="dxa"/>
            <w:tcBorders>
              <w:top w:val="single" w:sz="8" w:space="0" w:color="auto"/>
              <w:left w:val="nil"/>
              <w:bottom w:val="single" w:sz="8" w:space="0" w:color="auto"/>
              <w:right w:val="nil"/>
            </w:tcBorders>
            <w:shd w:val="clear" w:color="auto" w:fill="auto"/>
          </w:tcPr>
          <w:p w14:paraId="06E22FF5" w14:textId="77777777" w:rsidR="00A47F65" w:rsidRPr="007774B2" w:rsidRDefault="00D23154" w:rsidP="00D23154">
            <w:pPr>
              <w:ind w:left="-57" w:right="-57"/>
              <w:rPr>
                <w:rFonts w:ascii="Times New Roman" w:hAnsi="Times New Roman" w:cs="Times New Roman"/>
              </w:rPr>
            </w:pPr>
            <w:r w:rsidRPr="007774B2">
              <w:rPr>
                <w:rFonts w:ascii="Times New Roman" w:hAnsi="Times New Roman" w:cs="Times New Roman"/>
                <w:lang w:val="mn-MN"/>
              </w:rPr>
              <w:t>Г</w:t>
            </w:r>
            <w:proofErr w:type="spellStart"/>
            <w:r w:rsidR="00760653" w:rsidRPr="007774B2">
              <w:rPr>
                <w:rFonts w:ascii="Times New Roman" w:hAnsi="Times New Roman" w:cs="Times New Roman"/>
              </w:rPr>
              <w:t>үйцэт</w:t>
            </w:r>
            <w:proofErr w:type="spellEnd"/>
          </w:p>
          <w:p w14:paraId="7D121232" w14:textId="7D502681" w:rsidR="00760653" w:rsidRPr="007774B2" w:rsidRDefault="00760653" w:rsidP="00D23154">
            <w:pPr>
              <w:ind w:left="-57" w:right="-57"/>
              <w:rPr>
                <w:rFonts w:ascii="Times New Roman" w:hAnsi="Times New Roman" w:cs="Times New Roman"/>
              </w:rPr>
            </w:pPr>
            <w:proofErr w:type="spellStart"/>
            <w:r w:rsidRPr="007774B2">
              <w:rPr>
                <w:rFonts w:ascii="Times New Roman" w:hAnsi="Times New Roman" w:cs="Times New Roman"/>
              </w:rPr>
              <w:t>гэл</w:t>
            </w:r>
            <w:proofErr w:type="spellEnd"/>
            <w:r w:rsidRPr="007774B2">
              <w:rPr>
                <w:rFonts w:ascii="Times New Roman" w:hAnsi="Times New Roman" w:cs="Times New Roman"/>
              </w:rPr>
              <w:t xml:space="preserve"> </w:t>
            </w:r>
            <w:proofErr w:type="spellStart"/>
            <w:proofErr w:type="gramStart"/>
            <w:r w:rsidRPr="007774B2">
              <w:rPr>
                <w:rFonts w:ascii="Times New Roman" w:hAnsi="Times New Roman" w:cs="Times New Roman"/>
              </w:rPr>
              <w:t>сая.төг</w:t>
            </w:r>
            <w:proofErr w:type="spellEnd"/>
            <w:proofErr w:type="gramEnd"/>
          </w:p>
        </w:tc>
        <w:tc>
          <w:tcPr>
            <w:tcW w:w="4536" w:type="dxa"/>
            <w:vMerge/>
            <w:vAlign w:val="center"/>
          </w:tcPr>
          <w:p w14:paraId="3951122F" w14:textId="77777777" w:rsidR="00760653" w:rsidRPr="007774B2" w:rsidRDefault="00760653" w:rsidP="00D23154">
            <w:pPr>
              <w:ind w:left="-57" w:right="-57"/>
              <w:jc w:val="center"/>
              <w:rPr>
                <w:rFonts w:ascii="Times New Roman" w:hAnsi="Times New Roman" w:cs="Times New Roman"/>
                <w:lang w:val="mn-MN" w:bidi="mn-Mong-CN"/>
              </w:rPr>
            </w:pPr>
          </w:p>
        </w:tc>
      </w:tr>
      <w:tr w:rsidR="00A57AE7" w:rsidRPr="007774B2" w14:paraId="1D5FB3EF" w14:textId="77777777" w:rsidTr="008D2832">
        <w:trPr>
          <w:trHeight w:val="283"/>
        </w:trPr>
        <w:tc>
          <w:tcPr>
            <w:tcW w:w="14459" w:type="dxa"/>
            <w:gridSpan w:val="13"/>
            <w:vAlign w:val="center"/>
          </w:tcPr>
          <w:p w14:paraId="2BD17419" w14:textId="5C54DCF3" w:rsidR="00760653" w:rsidRPr="007774B2" w:rsidRDefault="00760653" w:rsidP="005E6513">
            <w:pPr>
              <w:ind w:right="-57"/>
              <w:jc w:val="center"/>
              <w:rPr>
                <w:rFonts w:ascii="Times New Roman" w:hAnsi="Times New Roman" w:cs="Times New Roman"/>
                <w:b/>
                <w:bCs/>
                <w:lang w:val="mn-MN" w:bidi="mn-Mong-CN"/>
              </w:rPr>
            </w:pPr>
            <w:r w:rsidRPr="007774B2">
              <w:rPr>
                <w:rFonts w:ascii="Times New Roman" w:hAnsi="Times New Roman" w:cs="Times New Roman"/>
                <w:b/>
                <w:bCs/>
                <w:lang w:val="mn-MN" w:bidi="mn-Mong-CN"/>
              </w:rPr>
              <w:t>ГУРАВ. ЭДИЙН ЗАСГИЙН БОДЛОГО</w:t>
            </w:r>
          </w:p>
        </w:tc>
      </w:tr>
      <w:tr w:rsidR="00A57AE7" w:rsidRPr="007774B2" w14:paraId="738C7B4A" w14:textId="77777777" w:rsidTr="008D2832">
        <w:trPr>
          <w:trHeight w:val="20"/>
        </w:trPr>
        <w:tc>
          <w:tcPr>
            <w:tcW w:w="14459" w:type="dxa"/>
            <w:gridSpan w:val="13"/>
            <w:vAlign w:val="center"/>
          </w:tcPr>
          <w:p w14:paraId="7B868AEC" w14:textId="45D5CCE1" w:rsidR="00760653" w:rsidRPr="007774B2" w:rsidRDefault="00760653" w:rsidP="007774B2">
            <w:pPr>
              <w:ind w:left="-57" w:right="-57"/>
              <w:rPr>
                <w:rFonts w:ascii="Times New Roman" w:hAnsi="Times New Roman" w:cs="Times New Roman"/>
                <w:b/>
                <w:bCs/>
                <w:lang w:val="mn-MN" w:bidi="mn-Mong-CN"/>
              </w:rPr>
            </w:pPr>
            <w:r w:rsidRPr="007774B2">
              <w:rPr>
                <w:rFonts w:ascii="Times New Roman" w:hAnsi="Times New Roman" w:cs="Times New Roman"/>
                <w:b/>
                <w:bCs/>
                <w:lang w:val="mn-MN" w:bidi="mn-Mong-CN"/>
              </w:rPr>
              <w:t>3.1.Санхүү, эдийн засгийн хүндрэлийг богино хугацаанд даван туулж, эдийн засгийн тогтвортой, хүртээмжтэй өсөлтийг хангах бодлого хэрэгжүүлнэ</w:t>
            </w:r>
            <w:r w:rsidRPr="007774B2">
              <w:rPr>
                <w:rFonts w:ascii="Times New Roman" w:hAnsi="Times New Roman" w:cs="Times New Roman"/>
                <w:b/>
                <w:bCs/>
                <w:lang w:val="mn-MN" w:bidi="mn-Mong-CN"/>
              </w:rPr>
              <w:tab/>
            </w:r>
          </w:p>
        </w:tc>
      </w:tr>
      <w:tr w:rsidR="00A57AE7" w:rsidRPr="007774B2" w14:paraId="7AFB6D6E" w14:textId="77777777" w:rsidTr="008D2832">
        <w:tc>
          <w:tcPr>
            <w:tcW w:w="425" w:type="dxa"/>
          </w:tcPr>
          <w:p w14:paraId="6F62B3F3" w14:textId="77777777" w:rsidR="00760653" w:rsidRPr="007774B2" w:rsidRDefault="00760653" w:rsidP="00D23154">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1</w:t>
            </w:r>
          </w:p>
        </w:tc>
        <w:tc>
          <w:tcPr>
            <w:tcW w:w="852" w:type="dxa"/>
            <w:tcBorders>
              <w:top w:val="single" w:sz="8" w:space="0" w:color="000000"/>
              <w:left w:val="single" w:sz="8" w:space="0" w:color="auto"/>
              <w:bottom w:val="single" w:sz="8" w:space="0" w:color="000000"/>
              <w:right w:val="nil"/>
            </w:tcBorders>
          </w:tcPr>
          <w:p w14:paraId="389E6B09" w14:textId="77777777" w:rsidR="00760653" w:rsidRPr="007774B2" w:rsidRDefault="00221702" w:rsidP="00BD3682">
            <w:pPr>
              <w:ind w:left="-57" w:right="-57"/>
              <w:jc w:val="center"/>
              <w:rPr>
                <w:rFonts w:ascii="Times New Roman" w:hAnsi="Times New Roman" w:cs="Times New Roman"/>
                <w:lang w:val="mn-MN"/>
              </w:rPr>
            </w:pPr>
            <w:r w:rsidRPr="007774B2">
              <w:rPr>
                <w:rFonts w:ascii="Times New Roman" w:hAnsi="Times New Roman" w:cs="Times New Roman"/>
              </w:rPr>
              <w:t>3</w:t>
            </w:r>
            <w:r w:rsidR="00760653" w:rsidRPr="007774B2">
              <w:rPr>
                <w:rFonts w:ascii="Times New Roman" w:hAnsi="Times New Roman" w:cs="Times New Roman"/>
                <w:lang w:val="mn-MN"/>
              </w:rPr>
              <w:t>.1.13</w:t>
            </w:r>
          </w:p>
        </w:tc>
        <w:tc>
          <w:tcPr>
            <w:tcW w:w="567" w:type="dxa"/>
            <w:tcBorders>
              <w:top w:val="single" w:sz="8" w:space="0" w:color="000000"/>
              <w:left w:val="single" w:sz="8" w:space="0" w:color="auto"/>
              <w:bottom w:val="single" w:sz="8" w:space="0" w:color="000000"/>
              <w:right w:val="nil"/>
            </w:tcBorders>
          </w:tcPr>
          <w:p w14:paraId="307D188E" w14:textId="77777777" w:rsidR="00760653" w:rsidRPr="007774B2" w:rsidRDefault="00760653" w:rsidP="00BD3682">
            <w:pPr>
              <w:ind w:left="-57" w:right="-57"/>
              <w:jc w:val="center"/>
              <w:rPr>
                <w:rFonts w:ascii="Times New Roman" w:hAnsi="Times New Roman" w:cs="Times New Roman"/>
                <w:lang w:val="mn-MN"/>
              </w:rPr>
            </w:pPr>
            <w:r w:rsidRPr="007774B2">
              <w:rPr>
                <w:rFonts w:ascii="Times New Roman" w:hAnsi="Times New Roman" w:cs="Times New Roman"/>
                <w:lang w:val="mn-MN"/>
              </w:rPr>
              <w:t>8</w:t>
            </w:r>
          </w:p>
        </w:tc>
        <w:tc>
          <w:tcPr>
            <w:tcW w:w="708" w:type="dxa"/>
            <w:gridSpan w:val="2"/>
            <w:tcBorders>
              <w:top w:val="single" w:sz="8" w:space="0" w:color="000000"/>
              <w:left w:val="single" w:sz="8" w:space="0" w:color="auto"/>
              <w:bottom w:val="single" w:sz="8" w:space="0" w:color="000000"/>
              <w:right w:val="nil"/>
            </w:tcBorders>
          </w:tcPr>
          <w:p w14:paraId="4A23C2B9" w14:textId="77777777" w:rsidR="00760653" w:rsidRPr="007774B2" w:rsidRDefault="00760653" w:rsidP="0035291E">
            <w:pPr>
              <w:ind w:left="-57" w:right="-57"/>
              <w:jc w:val="center"/>
              <w:rPr>
                <w:rFonts w:ascii="Times New Roman" w:hAnsi="Times New Roman" w:cs="Times New Roman"/>
                <w:lang w:val="mn-MN"/>
              </w:rPr>
            </w:pPr>
            <w:r w:rsidRPr="007774B2">
              <w:rPr>
                <w:rFonts w:ascii="Times New Roman" w:hAnsi="Times New Roman" w:cs="Times New Roman"/>
                <w:lang w:val="mn-MN"/>
              </w:rPr>
              <w:t>2023</w:t>
            </w:r>
          </w:p>
        </w:tc>
        <w:tc>
          <w:tcPr>
            <w:tcW w:w="851" w:type="dxa"/>
            <w:tcBorders>
              <w:top w:val="single" w:sz="8" w:space="0" w:color="000000"/>
              <w:left w:val="single" w:sz="8" w:space="0" w:color="auto"/>
              <w:bottom w:val="single" w:sz="8" w:space="0" w:color="000000"/>
              <w:right w:val="nil"/>
            </w:tcBorders>
          </w:tcPr>
          <w:p w14:paraId="58F20374" w14:textId="77777777" w:rsidR="00760653" w:rsidRPr="007774B2" w:rsidRDefault="00760653" w:rsidP="0035291E">
            <w:pPr>
              <w:ind w:left="-57" w:right="-57"/>
              <w:jc w:val="center"/>
              <w:rPr>
                <w:rFonts w:ascii="Times New Roman" w:hAnsi="Times New Roman" w:cs="Times New Roman"/>
                <w:lang w:val="mn-MN"/>
              </w:rPr>
            </w:pPr>
            <w:r w:rsidRPr="007774B2">
              <w:rPr>
                <w:rFonts w:ascii="Times New Roman" w:hAnsi="Times New Roman" w:cs="Times New Roman"/>
                <w:lang w:val="mn-MN"/>
              </w:rPr>
              <w:t>СЗХ</w:t>
            </w:r>
          </w:p>
        </w:tc>
        <w:tc>
          <w:tcPr>
            <w:tcW w:w="850" w:type="dxa"/>
            <w:tcBorders>
              <w:top w:val="single" w:sz="8" w:space="0" w:color="000000"/>
              <w:left w:val="single" w:sz="8" w:space="0" w:color="auto"/>
              <w:bottom w:val="single" w:sz="8" w:space="0" w:color="000000"/>
              <w:right w:val="nil"/>
            </w:tcBorders>
          </w:tcPr>
          <w:p w14:paraId="577B6795" w14:textId="77777777" w:rsidR="00760653" w:rsidRPr="007774B2" w:rsidRDefault="00D23154" w:rsidP="0035291E">
            <w:pPr>
              <w:ind w:left="-57" w:right="-57"/>
              <w:jc w:val="center"/>
              <w:rPr>
                <w:rFonts w:ascii="Times New Roman" w:hAnsi="Times New Roman" w:cs="Times New Roman"/>
                <w:lang w:val="mn-MN"/>
              </w:rPr>
            </w:pPr>
            <w:r w:rsidRPr="007774B2">
              <w:rPr>
                <w:rFonts w:ascii="Times New Roman" w:hAnsi="Times New Roman" w:cs="Times New Roman"/>
                <w:lang w:val="mn-MN"/>
              </w:rPr>
              <w:t>Улсын төсөв</w:t>
            </w:r>
          </w:p>
        </w:tc>
        <w:tc>
          <w:tcPr>
            <w:tcW w:w="993" w:type="dxa"/>
            <w:tcBorders>
              <w:top w:val="single" w:sz="8" w:space="0" w:color="000000"/>
              <w:left w:val="single" w:sz="8" w:space="0" w:color="auto"/>
              <w:bottom w:val="single" w:sz="8" w:space="0" w:color="000000"/>
              <w:right w:val="single" w:sz="8" w:space="0" w:color="auto"/>
            </w:tcBorders>
          </w:tcPr>
          <w:p w14:paraId="3441B54B" w14:textId="2C3B08D3" w:rsidR="00760653" w:rsidRPr="00807D22" w:rsidRDefault="00807D22" w:rsidP="00D23154">
            <w:pPr>
              <w:ind w:left="-57" w:right="-57"/>
              <w:jc w:val="both"/>
              <w:rPr>
                <w:rFonts w:ascii="Times New Roman" w:hAnsi="Times New Roman" w:cs="Times New Roman"/>
              </w:rPr>
            </w:pPr>
            <w:r w:rsidRPr="00807D22">
              <w:rPr>
                <w:rFonts w:ascii="Times New Roman" w:hAnsi="Times New Roman" w:cs="Times New Roman"/>
              </w:rPr>
              <w:t>26,654.60</w:t>
            </w:r>
          </w:p>
        </w:tc>
        <w:tc>
          <w:tcPr>
            <w:tcW w:w="1559" w:type="dxa"/>
            <w:tcBorders>
              <w:top w:val="single" w:sz="8" w:space="0" w:color="000000"/>
              <w:left w:val="single" w:sz="8" w:space="0" w:color="auto"/>
              <w:bottom w:val="single" w:sz="8" w:space="0" w:color="000000"/>
              <w:right w:val="single" w:sz="8" w:space="0" w:color="auto"/>
            </w:tcBorders>
          </w:tcPr>
          <w:p w14:paraId="57D4C2E1" w14:textId="77777777" w:rsidR="00760653" w:rsidRPr="007774B2" w:rsidRDefault="00E56402" w:rsidP="00BD3682">
            <w:pPr>
              <w:ind w:left="-57" w:right="-57"/>
              <w:jc w:val="center"/>
              <w:rPr>
                <w:rFonts w:ascii="Times New Roman" w:hAnsi="Times New Roman" w:cs="Times New Roman"/>
              </w:rPr>
            </w:pPr>
            <w:r w:rsidRPr="007774B2">
              <w:rPr>
                <w:rFonts w:ascii="Times New Roman" w:hAnsi="Times New Roman" w:cs="Times New Roman"/>
              </w:rPr>
              <w:t>-</w:t>
            </w:r>
          </w:p>
        </w:tc>
        <w:tc>
          <w:tcPr>
            <w:tcW w:w="1417" w:type="dxa"/>
          </w:tcPr>
          <w:p w14:paraId="18451A44" w14:textId="77777777" w:rsidR="00760653" w:rsidRPr="007774B2" w:rsidRDefault="00BC6936" w:rsidP="00D23154">
            <w:pPr>
              <w:ind w:left="-57" w:right="-57"/>
              <w:jc w:val="both"/>
              <w:rPr>
                <w:rFonts w:ascii="Times New Roman" w:hAnsi="Times New Roman" w:cs="Times New Roman"/>
                <w:bCs/>
              </w:rPr>
            </w:pPr>
            <w:proofErr w:type="spellStart"/>
            <w:r w:rsidRPr="007774B2">
              <w:rPr>
                <w:rFonts w:ascii="Times New Roman" w:hAnsi="Times New Roman" w:cs="Times New Roman"/>
              </w:rPr>
              <w:t>Давамгай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байдалтай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ахуй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эрхлэгч</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бүхий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төвлөрөл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ихтэй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зах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зээлийн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төвлөрлийг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бууруулахад</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чиглэсэн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бодлогын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арга</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хэмжээг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авч</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lastRenderedPageBreak/>
              <w:t>хэрэгжүүлсэн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байна</w:t>
            </w:r>
            <w:proofErr w:type="spellEnd"/>
            <w:r w:rsidRPr="007774B2">
              <w:rPr>
                <w:rFonts w:ascii="Times New Roman" w:hAnsi="Times New Roman" w:cs="Times New Roman"/>
              </w:rPr>
              <w:t>.</w:t>
            </w:r>
          </w:p>
        </w:tc>
        <w:tc>
          <w:tcPr>
            <w:tcW w:w="851" w:type="dxa"/>
          </w:tcPr>
          <w:p w14:paraId="2E0D6517" w14:textId="369E8936" w:rsidR="00760653" w:rsidRPr="007774B2" w:rsidRDefault="007674D8" w:rsidP="00BD3682">
            <w:pPr>
              <w:ind w:left="-57" w:right="-57"/>
              <w:jc w:val="center"/>
              <w:rPr>
                <w:rFonts w:ascii="Times New Roman" w:hAnsi="Times New Roman" w:cs="Times New Roman"/>
                <w:lang w:val="mn-MN"/>
              </w:rPr>
            </w:pPr>
            <w:r w:rsidRPr="007774B2">
              <w:rPr>
                <w:rFonts w:ascii="Times New Roman" w:hAnsi="Times New Roman" w:cs="Times New Roman"/>
                <w:lang w:val="mn-MN"/>
              </w:rPr>
              <w:lastRenderedPageBreak/>
              <w:t>-</w:t>
            </w:r>
          </w:p>
        </w:tc>
        <w:tc>
          <w:tcPr>
            <w:tcW w:w="850" w:type="dxa"/>
          </w:tcPr>
          <w:p w14:paraId="52EBFAA5" w14:textId="7B02BDCC" w:rsidR="00760653" w:rsidRPr="007774B2" w:rsidRDefault="007674D8"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4536" w:type="dxa"/>
          </w:tcPr>
          <w:p w14:paraId="2CD564CD" w14:textId="77777777" w:rsidR="005E6513" w:rsidRPr="007774B2" w:rsidRDefault="005E6513" w:rsidP="005E6513">
            <w:pPr>
              <w:ind w:left="-57" w:right="-57"/>
              <w:jc w:val="both"/>
              <w:rPr>
                <w:rFonts w:ascii="Times New Roman" w:eastAsia="Times New Roman" w:hAnsi="Times New Roman" w:cs="Times New Roman"/>
                <w:lang w:val="mn-MN"/>
              </w:rPr>
            </w:pPr>
            <w:r w:rsidRPr="007774B2">
              <w:rPr>
                <w:rFonts w:ascii="Times New Roman" w:eastAsia="Times New Roman" w:hAnsi="Times New Roman" w:cs="Times New Roman"/>
                <w:b/>
                <w:bCs/>
                <w:lang w:val="mn-MN"/>
              </w:rPr>
              <w:t>1</w:t>
            </w:r>
            <w:r w:rsidRPr="007774B2">
              <w:rPr>
                <w:rFonts w:ascii="Times New Roman" w:eastAsia="Times New Roman" w:hAnsi="Times New Roman" w:cs="Times New Roman"/>
                <w:lang w:val="mn-MN"/>
              </w:rPr>
              <w:t>. Банкны тухай хуульд нэмэлт, өөрчлөлт оруулах тухай хууль болон уг хуулийг дагаж мөрдөх журмын тухай хууль батлагдсанаар системд нөлөө бүхий банкууд компанийн хэлбэрийг өөрчлөн зохион байгуулж, хөрөнгийн зах зээл дээр олон нийтэд хувьцаа гаргах замаар 2023 оны 6 дугаар сарын 30-ны өдрийн дотор нээлттэй хувьцаат компани болох, мөн хувьцаа эзэмшлийн төвлөрлийг 20 хувиас хэтрүүлэхгүй байх шаардлагыг 2023 оны 12 дугаар сарын 31-ний өдрийн дотор хангах үүргийг тус тус хүлээсэн.</w:t>
            </w:r>
          </w:p>
          <w:p w14:paraId="1188DBFA" w14:textId="350E8D67" w:rsidR="005E6513" w:rsidRPr="007774B2" w:rsidRDefault="001D04BA" w:rsidP="005E6513">
            <w:pPr>
              <w:ind w:left="-57" w:right="-57"/>
              <w:jc w:val="both"/>
              <w:rPr>
                <w:rFonts w:ascii="Times New Roman" w:eastAsia="Times New Roman" w:hAnsi="Times New Roman" w:cs="Times New Roman"/>
                <w:lang w:val="mn-MN"/>
              </w:rPr>
            </w:pPr>
            <w:r w:rsidRPr="007774B2">
              <w:rPr>
                <w:rFonts w:ascii="Times New Roman" w:eastAsia="Times New Roman" w:hAnsi="Times New Roman" w:cs="Times New Roman"/>
                <w:lang w:val="mn-MN"/>
              </w:rPr>
              <w:lastRenderedPageBreak/>
              <w:t>Х</w:t>
            </w:r>
            <w:r w:rsidR="005E6513" w:rsidRPr="007774B2">
              <w:rPr>
                <w:rFonts w:ascii="Times New Roman" w:eastAsia="Times New Roman" w:hAnsi="Times New Roman" w:cs="Times New Roman"/>
                <w:lang w:val="mn-MN"/>
              </w:rPr>
              <w:t xml:space="preserve">орооноос дээрх хуулийн хэрэгжилтийг хангуулж, Банкны салбарын реформын хүрээнд системийн банкууд компанийн хэлбэрийг өөрчлөн зохион байгуулж, нээлттэй хувьцаат компани болоход эрх </w:t>
            </w:r>
            <w:r w:rsidR="00CE4EBC">
              <w:rPr>
                <w:rFonts w:ascii="Times New Roman" w:eastAsia="Times New Roman" w:hAnsi="Times New Roman"/>
                <w:szCs w:val="28"/>
                <w:lang w:val="mn-MN" w:bidi="mn-Mong-CN"/>
              </w:rPr>
              <w:t xml:space="preserve">зүйн </w:t>
            </w:r>
            <w:r w:rsidR="005E6513" w:rsidRPr="007774B2">
              <w:rPr>
                <w:rFonts w:ascii="Times New Roman" w:eastAsia="Times New Roman" w:hAnsi="Times New Roman" w:cs="Times New Roman"/>
                <w:lang w:val="mn-MN"/>
              </w:rPr>
              <w:t>зохицуулалтын таатай орчныг бүрдүүлж, бодлого зохицуулалтаар тухай бүр дэмжлэг үзүүлэн ажилласны үр дүнд системийн 5 банк /Төрийн банк, Голомт банк, Хаан банк, ХХБ, Хас банк/ болон системийн бус нэг банк /Богд банк/ амжилттай IPO хийж, нээлттэй хувьцаат компани болсон.</w:t>
            </w:r>
          </w:p>
          <w:p w14:paraId="4A6BAE95" w14:textId="4136F96B" w:rsidR="005E6513" w:rsidRPr="007774B2" w:rsidRDefault="001D04BA" w:rsidP="005E6513">
            <w:pPr>
              <w:ind w:left="-57" w:right="-57"/>
              <w:jc w:val="both"/>
              <w:rPr>
                <w:rFonts w:ascii="Times New Roman" w:eastAsia="Times New Roman" w:hAnsi="Times New Roman" w:cs="Times New Roman"/>
                <w:lang w:val="mn-MN"/>
              </w:rPr>
            </w:pPr>
            <w:r w:rsidRPr="007774B2">
              <w:rPr>
                <w:rFonts w:ascii="Times New Roman" w:eastAsia="Times New Roman" w:hAnsi="Times New Roman" w:cs="Times New Roman"/>
                <w:lang w:val="mn-MN"/>
              </w:rPr>
              <w:t>Х</w:t>
            </w:r>
            <w:r w:rsidR="005E6513" w:rsidRPr="007774B2">
              <w:rPr>
                <w:rFonts w:ascii="Times New Roman" w:eastAsia="Times New Roman" w:hAnsi="Times New Roman" w:cs="Times New Roman"/>
                <w:lang w:val="mn-MN"/>
              </w:rPr>
              <w:t>орооноос Монголын үндэсний худалдаа аж үйлдвэрийн танхимтай хамтран “ТОП-100 аж ахуйн нэгжийн хөрөнгийн зах зээл дэх оролцоог өсгөх арга хэмжээний хөтөлбөр”-ийг баталсан. Уг хөтөлбөрийн хүрээнд ТОП-100  аж ахуйн нэгжүүд хөрөнгийн зах зээл дээр олон нийтэд хувьцаа гаргах, компанийн бонд гаргахад тавих нөхцөл, шаардлага, цаг хугацаа, өртгийг бууруулж, хөрөнгийн үнэлгээ хийлгэхийг шаардахгүй байх зэргээр үнэт цаас гаргах ажиллагааг хялбаршуулах зохицуулалтуудыг тусгасан.</w:t>
            </w:r>
          </w:p>
          <w:p w14:paraId="20155CC7" w14:textId="77777777" w:rsidR="005E6513" w:rsidRPr="007774B2" w:rsidRDefault="005E6513" w:rsidP="005E6513">
            <w:pPr>
              <w:ind w:left="-57" w:right="-57"/>
              <w:jc w:val="both"/>
              <w:rPr>
                <w:rFonts w:ascii="Times New Roman" w:eastAsia="Times New Roman" w:hAnsi="Times New Roman" w:cs="Times New Roman"/>
                <w:lang w:val="mn-MN"/>
              </w:rPr>
            </w:pPr>
            <w:r w:rsidRPr="007774B2">
              <w:rPr>
                <w:rFonts w:ascii="Times New Roman" w:eastAsia="Times New Roman" w:hAnsi="Times New Roman" w:cs="Times New Roman"/>
                <w:lang w:val="mn-MN"/>
              </w:rPr>
              <w:t>Мөн хөрөнгийн зах зээлд хамтын хөрөнгө оруулалтын сангуудын тоог өсгөх, үйл ажиллагаа явуулахад таатай зохицуулалтын орчныг бүрдүүлэх хүрээнд Хорооны 2023 оны 464 дүгээр тогтоолоор “Хөрөнгө оруулалтын санг үүсгэн байгуулах, үйл ажиллагаа эрхлэх тусгай зөвшөөрөл олгох, түүнд хяналт тавих журам”-ын хамтын хөрөнгө оруулалтын сангийн активт тавих шаардлагыг зах зээлийн нөхцөл байдалтай уялдуулан бууруулсан.</w:t>
            </w:r>
          </w:p>
          <w:p w14:paraId="62E4B4DD" w14:textId="5CBC802A" w:rsidR="00760653" w:rsidRPr="007774B2" w:rsidRDefault="005E6513" w:rsidP="005E6513">
            <w:pPr>
              <w:ind w:left="-57" w:right="-57"/>
              <w:jc w:val="both"/>
              <w:rPr>
                <w:rFonts w:ascii="Times New Roman" w:eastAsia="Times New Roman" w:hAnsi="Times New Roman" w:cs="Times New Roman"/>
                <w:color w:val="242424"/>
              </w:rPr>
            </w:pPr>
            <w:r w:rsidRPr="007774B2">
              <w:rPr>
                <w:rFonts w:ascii="Times New Roman" w:eastAsia="Times New Roman" w:hAnsi="Times New Roman" w:cs="Times New Roman"/>
                <w:b/>
                <w:bCs/>
                <w:lang w:val="mn-MN"/>
              </w:rPr>
              <w:t>2.</w:t>
            </w:r>
            <w:r w:rsidRPr="007774B2">
              <w:rPr>
                <w:rFonts w:ascii="Times New Roman" w:eastAsia="Times New Roman" w:hAnsi="Times New Roman" w:cs="Times New Roman"/>
                <w:lang w:val="mn-MN"/>
              </w:rPr>
              <w:t xml:space="preserve"> </w:t>
            </w:r>
            <w:r w:rsidRPr="007774B2">
              <w:rPr>
                <w:rFonts w:ascii="Times New Roman" w:eastAsia="Times New Roman" w:hAnsi="Times New Roman" w:cs="Times New Roman"/>
                <w:color w:val="000000"/>
                <w:bdr w:val="none" w:sz="0" w:space="0" w:color="auto" w:frame="1"/>
                <w:shd w:val="clear" w:color="auto" w:fill="FFFFFF"/>
              </w:rPr>
              <w:t>У</w:t>
            </w:r>
            <w:r w:rsidRPr="007774B2">
              <w:rPr>
                <w:rFonts w:ascii="Times New Roman" w:eastAsia="Times New Roman" w:hAnsi="Times New Roman" w:cs="Times New Roman"/>
                <w:color w:val="000000"/>
                <w:bdr w:val="none" w:sz="0" w:space="0" w:color="auto" w:frame="1"/>
                <w:shd w:val="clear" w:color="auto" w:fill="FFFFFF"/>
                <w:lang w:val="mn-MN"/>
              </w:rPr>
              <w:t>лсын Их Хурлаас</w:t>
            </w:r>
            <w:r w:rsidRPr="007774B2">
              <w:rPr>
                <w:rFonts w:ascii="Times New Roman" w:eastAsia="Times New Roman" w:hAnsi="Times New Roman" w:cs="Times New Roman"/>
                <w:color w:val="000000"/>
                <w:bdr w:val="none" w:sz="0" w:space="0" w:color="auto" w:frame="1"/>
                <w:shd w:val="clear" w:color="auto" w:fill="FFFFFF"/>
              </w:rPr>
              <w:t xml:space="preserve"> 2022</w:t>
            </w:r>
            <w:r w:rsidR="001D04BA" w:rsidRPr="007774B2">
              <w:rPr>
                <w:rFonts w:ascii="Times New Roman" w:eastAsia="Times New Roman" w:hAnsi="Times New Roman" w:cs="Times New Roman"/>
                <w:color w:val="000000"/>
                <w:bdr w:val="none" w:sz="0" w:space="0" w:color="auto" w:frame="1"/>
                <w:shd w:val="clear" w:color="auto" w:fill="FFFFFF"/>
                <w:lang w:val="mn-MN"/>
              </w:rPr>
              <w:t xml:space="preserve"> оны </w:t>
            </w:r>
            <w:r w:rsidRPr="007774B2">
              <w:rPr>
                <w:rFonts w:ascii="Times New Roman" w:eastAsia="Times New Roman" w:hAnsi="Times New Roman" w:cs="Times New Roman"/>
                <w:color w:val="000000"/>
                <w:bdr w:val="none" w:sz="0" w:space="0" w:color="auto" w:frame="1"/>
                <w:shd w:val="clear" w:color="auto" w:fill="FFFFFF"/>
              </w:rPr>
              <w:t>12</w:t>
            </w:r>
            <w:r w:rsidR="001D04BA" w:rsidRPr="007774B2">
              <w:rPr>
                <w:rFonts w:ascii="Times New Roman" w:eastAsia="Times New Roman" w:hAnsi="Times New Roman" w:cs="Times New Roman"/>
                <w:color w:val="000000"/>
                <w:bdr w:val="none" w:sz="0" w:space="0" w:color="auto" w:frame="1"/>
                <w:shd w:val="clear" w:color="auto" w:fill="FFFFFF"/>
                <w:lang w:val="mn-MN"/>
              </w:rPr>
              <w:t xml:space="preserve"> дугаар сарын </w:t>
            </w:r>
            <w:r w:rsidRPr="007774B2">
              <w:rPr>
                <w:rFonts w:ascii="Times New Roman" w:eastAsia="Times New Roman" w:hAnsi="Times New Roman" w:cs="Times New Roman"/>
                <w:color w:val="000000"/>
                <w:bdr w:val="none" w:sz="0" w:space="0" w:color="auto" w:frame="1"/>
                <w:shd w:val="clear" w:color="auto" w:fill="FFFFFF"/>
              </w:rPr>
              <w:t xml:space="preserve">23-ны </w:t>
            </w:r>
            <w:proofErr w:type="spellStart"/>
            <w:r w:rsidRPr="007774B2">
              <w:rPr>
                <w:rFonts w:ascii="Times New Roman" w:eastAsia="Times New Roman" w:hAnsi="Times New Roman" w:cs="Times New Roman"/>
                <w:color w:val="000000"/>
                <w:bdr w:val="none" w:sz="0" w:space="0" w:color="auto" w:frame="1"/>
                <w:shd w:val="clear" w:color="auto" w:fill="FFFFFF"/>
              </w:rPr>
              <w:t>өдөр</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Даатгалын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тухай</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хууль</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Төрийн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болон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орон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нутгийн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өмчийн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хөрөнгөөр</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бараа</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lastRenderedPageBreak/>
              <w:t>ажил</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үйлчилгээ</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худалдан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авах</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тухай</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хуулиудад</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даатгагч</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нь</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холбогдох</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этгээдээс</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бусад</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этгээдэд</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баталгаа</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батлан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даалт</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гаргах</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төрийн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худалдан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авах</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ажиллагаанд</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банкны</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баталгаанаас</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гадна</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даатгагчийн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баталгааг</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хүлээн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авах</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боломжийг</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бүрдүүлсэн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нэмэлт</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өөрчлөлтийг</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оруул</w:t>
            </w:r>
            <w:proofErr w:type="spellEnd"/>
            <w:r w:rsidRPr="007774B2">
              <w:rPr>
                <w:rFonts w:ascii="Times New Roman" w:eastAsia="Times New Roman" w:hAnsi="Times New Roman" w:cs="Times New Roman"/>
                <w:color w:val="000000"/>
                <w:bdr w:val="none" w:sz="0" w:space="0" w:color="auto" w:frame="1"/>
                <w:shd w:val="clear" w:color="auto" w:fill="FFFFFF"/>
                <w:lang w:val="mn-MN"/>
              </w:rPr>
              <w:t>сан</w:t>
            </w:r>
            <w:r w:rsidRPr="007774B2">
              <w:rPr>
                <w:rFonts w:ascii="Times New Roman" w:eastAsia="Times New Roman" w:hAnsi="Times New Roman" w:cs="Times New Roman"/>
                <w:color w:val="000000"/>
                <w:bdr w:val="none" w:sz="0" w:space="0" w:color="auto" w:frame="1"/>
                <w:shd w:val="clear" w:color="auto" w:fill="FFFFFF"/>
              </w:rPr>
              <w:t>. </w:t>
            </w:r>
            <w:r w:rsidRPr="007774B2">
              <w:rPr>
                <w:rFonts w:ascii="Times New Roman" w:eastAsia="Times New Roman" w:hAnsi="Times New Roman" w:cs="Times New Roman"/>
                <w:color w:val="000000"/>
                <w:bdr w:val="none" w:sz="0" w:space="0" w:color="auto" w:frame="1"/>
                <w:shd w:val="clear" w:color="auto" w:fill="FFFFFF"/>
                <w:lang w:val="mn-MN"/>
              </w:rPr>
              <w:t xml:space="preserve">Энэхүү </w:t>
            </w:r>
            <w:proofErr w:type="spellStart"/>
            <w:r w:rsidRPr="007774B2">
              <w:rPr>
                <w:rFonts w:ascii="Times New Roman" w:eastAsia="Times New Roman" w:hAnsi="Times New Roman" w:cs="Times New Roman"/>
                <w:color w:val="000000"/>
                <w:bdr w:val="none" w:sz="0" w:space="0" w:color="auto" w:frame="1"/>
              </w:rPr>
              <w:t>нэмэлт</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өөрчлөлтөөр</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Даатгалын</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тухай</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хуулийн</w:t>
            </w:r>
            <w:proofErr w:type="spellEnd"/>
            <w:r w:rsidRPr="007774B2">
              <w:rPr>
                <w:rFonts w:ascii="Times New Roman" w:eastAsia="Times New Roman" w:hAnsi="Times New Roman" w:cs="Times New Roman"/>
                <w:color w:val="000000"/>
                <w:bdr w:val="none" w:sz="0" w:space="0" w:color="auto" w:frame="1"/>
              </w:rPr>
              <w:t xml:space="preserve"> 6</w:t>
            </w:r>
            <w:r w:rsidRPr="007774B2">
              <w:rPr>
                <w:rFonts w:ascii="Times New Roman" w:eastAsia="Times New Roman" w:hAnsi="Times New Roman" w:cs="Times New Roman"/>
                <w:color w:val="000000"/>
                <w:bdr w:val="none" w:sz="0" w:space="0" w:color="auto" w:frame="1"/>
                <w:vertAlign w:val="superscript"/>
              </w:rPr>
              <w:t>1</w:t>
            </w:r>
            <w:r w:rsidRPr="007774B2">
              <w:rPr>
                <w:rFonts w:ascii="Times New Roman" w:eastAsia="Times New Roman" w:hAnsi="Times New Roman" w:cs="Times New Roman"/>
                <w:color w:val="000000"/>
                <w:bdr w:val="none" w:sz="0" w:space="0" w:color="auto" w:frame="1"/>
              </w:rPr>
              <w:t xml:space="preserve">.3, 14.2.22-т </w:t>
            </w:r>
            <w:proofErr w:type="spellStart"/>
            <w:r w:rsidRPr="007774B2">
              <w:rPr>
                <w:rFonts w:ascii="Times New Roman" w:eastAsia="Times New Roman" w:hAnsi="Times New Roman" w:cs="Times New Roman"/>
                <w:color w:val="000000"/>
                <w:bdr w:val="none" w:sz="0" w:space="0" w:color="auto" w:frame="1"/>
              </w:rPr>
              <w:t>тус</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тус</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даатгагчийн</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баталгаа</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гаргах</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үйл</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ажиллагааны</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журмыг</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Санхүүгийн</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зохицуулах</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хороо</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батлахаар</w:t>
            </w:r>
            <w:proofErr w:type="spellEnd"/>
            <w:r w:rsidRPr="007774B2">
              <w:rPr>
                <w:rFonts w:ascii="Times New Roman" w:eastAsia="Times New Roman" w:hAnsi="Times New Roman" w:cs="Times New Roman"/>
                <w:color w:val="000000"/>
                <w:bdr w:val="none" w:sz="0" w:space="0" w:color="auto" w:frame="1"/>
              </w:rPr>
              <w:t xml:space="preserve"> </w:t>
            </w:r>
            <w:proofErr w:type="spellStart"/>
            <w:r w:rsidRPr="007774B2">
              <w:rPr>
                <w:rFonts w:ascii="Times New Roman" w:eastAsia="Times New Roman" w:hAnsi="Times New Roman" w:cs="Times New Roman"/>
                <w:color w:val="000000"/>
                <w:bdr w:val="none" w:sz="0" w:space="0" w:color="auto" w:frame="1"/>
              </w:rPr>
              <w:t>тусгас</w:t>
            </w:r>
            <w:proofErr w:type="spellEnd"/>
            <w:r w:rsidRPr="007774B2">
              <w:rPr>
                <w:rFonts w:ascii="Times New Roman" w:eastAsia="Times New Roman" w:hAnsi="Times New Roman" w:cs="Times New Roman"/>
                <w:color w:val="000000"/>
                <w:bdr w:val="none" w:sz="0" w:space="0" w:color="auto" w:frame="1"/>
                <w:lang w:val="mn-MN"/>
              </w:rPr>
              <w:t>ны дагуу Х</w:t>
            </w:r>
            <w:proofErr w:type="spellStart"/>
            <w:r w:rsidRPr="007774B2">
              <w:rPr>
                <w:rFonts w:ascii="Times New Roman" w:eastAsia="Times New Roman" w:hAnsi="Times New Roman" w:cs="Times New Roman"/>
                <w:color w:val="000000"/>
                <w:bdr w:val="none" w:sz="0" w:space="0" w:color="auto" w:frame="1"/>
                <w:shd w:val="clear" w:color="auto" w:fill="FFFFFF"/>
              </w:rPr>
              <w:t>орооны</w:t>
            </w:r>
            <w:proofErr w:type="spellEnd"/>
            <w:r w:rsidRPr="007774B2">
              <w:rPr>
                <w:rFonts w:ascii="Times New Roman" w:eastAsia="Times New Roman" w:hAnsi="Times New Roman" w:cs="Times New Roman"/>
                <w:color w:val="000000"/>
                <w:bdr w:val="none" w:sz="0" w:space="0" w:color="auto" w:frame="1"/>
                <w:shd w:val="clear" w:color="auto" w:fill="FFFFFF"/>
              </w:rPr>
              <w:t xml:space="preserve"> 2023 </w:t>
            </w:r>
            <w:proofErr w:type="spellStart"/>
            <w:r w:rsidRPr="007774B2">
              <w:rPr>
                <w:rFonts w:ascii="Times New Roman" w:eastAsia="Times New Roman" w:hAnsi="Times New Roman" w:cs="Times New Roman"/>
                <w:color w:val="000000"/>
                <w:bdr w:val="none" w:sz="0" w:space="0" w:color="auto" w:frame="1"/>
                <w:shd w:val="clear" w:color="auto" w:fill="FFFFFF"/>
              </w:rPr>
              <w:t>оны</w:t>
            </w:r>
            <w:proofErr w:type="spellEnd"/>
            <w:r w:rsidRPr="007774B2">
              <w:rPr>
                <w:rFonts w:ascii="Times New Roman" w:eastAsia="Times New Roman" w:hAnsi="Times New Roman" w:cs="Times New Roman"/>
                <w:color w:val="000000"/>
                <w:bdr w:val="none" w:sz="0" w:space="0" w:color="auto" w:frame="1"/>
                <w:shd w:val="clear" w:color="auto" w:fill="FFFFFF"/>
              </w:rPr>
              <w:t xml:space="preserve"> 46 </w:t>
            </w:r>
            <w:proofErr w:type="spellStart"/>
            <w:r w:rsidRPr="007774B2">
              <w:rPr>
                <w:rFonts w:ascii="Times New Roman" w:eastAsia="Times New Roman" w:hAnsi="Times New Roman" w:cs="Times New Roman"/>
                <w:color w:val="000000"/>
                <w:bdr w:val="none" w:sz="0" w:space="0" w:color="auto" w:frame="1"/>
                <w:shd w:val="clear" w:color="auto" w:fill="FFFFFF"/>
              </w:rPr>
              <w:t>дугаар</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тогтоолоор</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Даатгагчийн</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баталгаа</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гаргах</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үйл</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ажиллагааны</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журам</w:t>
            </w:r>
            <w:proofErr w:type="spellEnd"/>
            <w:r w:rsidRPr="007774B2">
              <w:rPr>
                <w:rFonts w:ascii="Times New Roman" w:eastAsia="Times New Roman" w:hAnsi="Times New Roman" w:cs="Times New Roman"/>
                <w:color w:val="000000"/>
                <w:bdr w:val="none" w:sz="0" w:space="0" w:color="auto" w:frame="1"/>
                <w:shd w:val="clear" w:color="auto" w:fill="FFFFFF"/>
              </w:rPr>
              <w:t>”-</w:t>
            </w:r>
            <w:proofErr w:type="spellStart"/>
            <w:r w:rsidRPr="007774B2">
              <w:rPr>
                <w:rFonts w:ascii="Times New Roman" w:eastAsia="Times New Roman" w:hAnsi="Times New Roman" w:cs="Times New Roman"/>
                <w:color w:val="000000"/>
                <w:bdr w:val="none" w:sz="0" w:space="0" w:color="auto" w:frame="1"/>
                <w:shd w:val="clear" w:color="auto" w:fill="FFFFFF"/>
              </w:rPr>
              <w:t>ыг</w:t>
            </w:r>
            <w:proofErr w:type="spellEnd"/>
            <w:r w:rsidRPr="007774B2">
              <w:rPr>
                <w:rFonts w:ascii="Times New Roman" w:eastAsia="Times New Roman" w:hAnsi="Times New Roman" w:cs="Times New Roman"/>
                <w:color w:val="000000"/>
                <w:bdr w:val="none" w:sz="0" w:space="0" w:color="auto" w:frame="1"/>
                <w:shd w:val="clear" w:color="auto" w:fill="FFFFFF"/>
              </w:rPr>
              <w:t xml:space="preserve"> </w:t>
            </w:r>
            <w:proofErr w:type="spellStart"/>
            <w:r w:rsidRPr="007774B2">
              <w:rPr>
                <w:rFonts w:ascii="Times New Roman" w:eastAsia="Times New Roman" w:hAnsi="Times New Roman" w:cs="Times New Roman"/>
                <w:color w:val="000000"/>
                <w:bdr w:val="none" w:sz="0" w:space="0" w:color="auto" w:frame="1"/>
                <w:shd w:val="clear" w:color="auto" w:fill="FFFFFF"/>
              </w:rPr>
              <w:t>батал</w:t>
            </w:r>
            <w:proofErr w:type="spellEnd"/>
            <w:r w:rsidRPr="007774B2">
              <w:rPr>
                <w:rFonts w:ascii="Times New Roman" w:eastAsia="Times New Roman" w:hAnsi="Times New Roman" w:cs="Times New Roman"/>
                <w:color w:val="000000"/>
                <w:bdr w:val="none" w:sz="0" w:space="0" w:color="auto" w:frame="1"/>
                <w:shd w:val="clear" w:color="auto" w:fill="FFFFFF"/>
                <w:lang w:val="mn-MN"/>
              </w:rPr>
              <w:t>сан.</w:t>
            </w:r>
            <w:r w:rsidRPr="007774B2">
              <w:rPr>
                <w:rFonts w:ascii="Times New Roman" w:eastAsia="Times New Roman" w:hAnsi="Times New Roman" w:cs="Times New Roman"/>
                <w:color w:val="000000"/>
                <w:bdr w:val="none" w:sz="0" w:space="0" w:color="auto" w:frame="1"/>
              </w:rPr>
              <w:t xml:space="preserve"> </w:t>
            </w:r>
          </w:p>
        </w:tc>
      </w:tr>
      <w:bookmarkEnd w:id="1"/>
      <w:tr w:rsidR="00A57AE7" w:rsidRPr="007774B2" w14:paraId="0D92BC50" w14:textId="77777777" w:rsidTr="008D2832">
        <w:tc>
          <w:tcPr>
            <w:tcW w:w="14459" w:type="dxa"/>
            <w:gridSpan w:val="13"/>
          </w:tcPr>
          <w:p w14:paraId="47E3E9F2" w14:textId="4BBC6AF6" w:rsidR="00087922" w:rsidRPr="007774B2" w:rsidRDefault="00087922" w:rsidP="00D23154">
            <w:pPr>
              <w:ind w:left="-57" w:right="-57"/>
              <w:jc w:val="both"/>
              <w:rPr>
                <w:rFonts w:ascii="Times New Roman" w:eastAsia="Times New Roman" w:hAnsi="Times New Roman" w:cs="Times New Roman"/>
                <w:b/>
                <w:bCs/>
                <w:lang w:val="mn-MN"/>
              </w:rPr>
            </w:pPr>
            <w:r w:rsidRPr="007774B2">
              <w:rPr>
                <w:rFonts w:ascii="Times New Roman" w:hAnsi="Times New Roman" w:cs="Times New Roman"/>
                <w:b/>
                <w:bCs/>
              </w:rPr>
              <w:lastRenderedPageBreak/>
              <w:t xml:space="preserve">3.3 </w:t>
            </w:r>
            <w:proofErr w:type="spellStart"/>
            <w:r w:rsidRPr="007774B2">
              <w:rPr>
                <w:rFonts w:ascii="Times New Roman" w:hAnsi="Times New Roman" w:cs="Times New Roman"/>
                <w:b/>
                <w:bCs/>
              </w:rPr>
              <w:t>Хөдөө</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аж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ахуйн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бүтээгдэхүүн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үйлдвэрлэл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борлуулалтын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сүлжээг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хөгжүүлж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гол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нэрийн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хүнсний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бүтээгдэхүүний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хэрэгцээг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дотоодоос</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бүрэн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хангаж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импортыг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орлох</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болон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экспортын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баримжаатай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бүтээгдэхүүн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үйлдвэрлэлийг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дэмжинэ</w:t>
            </w:r>
            <w:proofErr w:type="spellEnd"/>
            <w:r w:rsidRPr="007774B2">
              <w:rPr>
                <w:rFonts w:ascii="Times New Roman" w:hAnsi="Times New Roman" w:cs="Times New Roman"/>
                <w:b/>
                <w:bCs/>
              </w:rPr>
              <w:t>.</w:t>
            </w:r>
          </w:p>
        </w:tc>
      </w:tr>
      <w:tr w:rsidR="00A57AE7" w:rsidRPr="007774B2" w14:paraId="185A11EE" w14:textId="77777777" w:rsidTr="008D2832">
        <w:tc>
          <w:tcPr>
            <w:tcW w:w="425" w:type="dxa"/>
          </w:tcPr>
          <w:p w14:paraId="1AA20B6D" w14:textId="77777777" w:rsidR="00760653" w:rsidRPr="007774B2" w:rsidRDefault="00D23154" w:rsidP="00D23154">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2</w:t>
            </w:r>
          </w:p>
        </w:tc>
        <w:tc>
          <w:tcPr>
            <w:tcW w:w="852" w:type="dxa"/>
          </w:tcPr>
          <w:p w14:paraId="559D0ED1" w14:textId="5A0D236A" w:rsidR="00760653" w:rsidRPr="007774B2" w:rsidRDefault="00760653" w:rsidP="00BD3682">
            <w:pPr>
              <w:ind w:left="-57" w:right="-57"/>
              <w:jc w:val="center"/>
              <w:rPr>
                <w:rFonts w:ascii="Times New Roman" w:hAnsi="Times New Roman" w:cs="Times New Roman"/>
                <w:lang w:val="mn-MN" w:bidi="mn-Mong-CN"/>
              </w:rPr>
            </w:pPr>
            <w:r w:rsidRPr="007774B2">
              <w:rPr>
                <w:rFonts w:ascii="Times New Roman" w:hAnsi="Times New Roman" w:cs="Times New Roman"/>
                <w:bCs/>
                <w:lang w:val="mn-MN"/>
              </w:rPr>
              <w:t>3.</w:t>
            </w:r>
            <w:r w:rsidR="00B95424" w:rsidRPr="007774B2">
              <w:rPr>
                <w:rFonts w:ascii="Times New Roman" w:hAnsi="Times New Roman" w:cs="Times New Roman"/>
                <w:bCs/>
                <w:lang w:val="mn-MN"/>
              </w:rPr>
              <w:t>3</w:t>
            </w:r>
            <w:r w:rsidRPr="007774B2">
              <w:rPr>
                <w:rFonts w:ascii="Times New Roman" w:hAnsi="Times New Roman" w:cs="Times New Roman"/>
                <w:bCs/>
                <w:lang w:val="mn-MN"/>
              </w:rPr>
              <w:t>.15</w:t>
            </w:r>
          </w:p>
        </w:tc>
        <w:tc>
          <w:tcPr>
            <w:tcW w:w="567" w:type="dxa"/>
          </w:tcPr>
          <w:p w14:paraId="054E46F0" w14:textId="77777777" w:rsidR="00760653" w:rsidRPr="007774B2" w:rsidRDefault="00D23154"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1</w:t>
            </w:r>
          </w:p>
        </w:tc>
        <w:tc>
          <w:tcPr>
            <w:tcW w:w="708" w:type="dxa"/>
            <w:gridSpan w:val="2"/>
          </w:tcPr>
          <w:p w14:paraId="270424F4" w14:textId="77777777" w:rsidR="00760653" w:rsidRPr="007774B2" w:rsidRDefault="00D23154"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2023</w:t>
            </w:r>
          </w:p>
        </w:tc>
        <w:tc>
          <w:tcPr>
            <w:tcW w:w="851" w:type="dxa"/>
          </w:tcPr>
          <w:p w14:paraId="650A6E38" w14:textId="77777777" w:rsidR="00760653" w:rsidRPr="007774B2" w:rsidRDefault="00D23154" w:rsidP="0035291E">
            <w:pPr>
              <w:ind w:left="-57" w:right="-57"/>
              <w:jc w:val="center"/>
              <w:rPr>
                <w:rFonts w:ascii="Times New Roman" w:hAnsi="Times New Roman" w:cs="Times New Roman"/>
                <w:bCs/>
              </w:rPr>
            </w:pPr>
            <w:r w:rsidRPr="007774B2">
              <w:rPr>
                <w:rFonts w:ascii="Times New Roman" w:hAnsi="Times New Roman" w:cs="Times New Roman"/>
                <w:bCs/>
              </w:rPr>
              <w:t>Б</w:t>
            </w:r>
            <w:r w:rsidRPr="007774B2">
              <w:rPr>
                <w:rFonts w:ascii="Times New Roman" w:hAnsi="Times New Roman" w:cs="Times New Roman"/>
                <w:bCs/>
                <w:lang w:val="mn-MN"/>
              </w:rPr>
              <w:t>ОАЖЯ</w:t>
            </w:r>
          </w:p>
        </w:tc>
        <w:tc>
          <w:tcPr>
            <w:tcW w:w="850" w:type="dxa"/>
          </w:tcPr>
          <w:p w14:paraId="5C33426B" w14:textId="77777777" w:rsidR="00760653" w:rsidRPr="007774B2" w:rsidRDefault="00D23154"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Улсын төсөв</w:t>
            </w:r>
          </w:p>
        </w:tc>
        <w:tc>
          <w:tcPr>
            <w:tcW w:w="993" w:type="dxa"/>
          </w:tcPr>
          <w:p w14:paraId="3587E82D" w14:textId="77777777" w:rsidR="00760653" w:rsidRPr="007774B2" w:rsidRDefault="00F50694" w:rsidP="00BD3682">
            <w:pPr>
              <w:ind w:left="-57" w:right="-57"/>
              <w:jc w:val="center"/>
              <w:rPr>
                <w:rFonts w:ascii="Times New Roman" w:hAnsi="Times New Roman" w:cs="Times New Roman"/>
                <w:bCs/>
              </w:rPr>
            </w:pPr>
            <w:r w:rsidRPr="007774B2">
              <w:rPr>
                <w:rFonts w:ascii="Times New Roman" w:hAnsi="Times New Roman" w:cs="Times New Roman"/>
                <w:bCs/>
              </w:rPr>
              <w:t>-</w:t>
            </w:r>
          </w:p>
        </w:tc>
        <w:tc>
          <w:tcPr>
            <w:tcW w:w="1559" w:type="dxa"/>
          </w:tcPr>
          <w:p w14:paraId="39E2D001" w14:textId="77777777" w:rsidR="00760653" w:rsidRPr="007774B2" w:rsidRDefault="00E56402" w:rsidP="00BD3682">
            <w:pPr>
              <w:ind w:left="-57" w:right="-57"/>
              <w:jc w:val="center"/>
              <w:rPr>
                <w:rFonts w:ascii="Times New Roman" w:hAnsi="Times New Roman" w:cs="Times New Roman"/>
                <w:bCs/>
              </w:rPr>
            </w:pPr>
            <w:r w:rsidRPr="007774B2">
              <w:rPr>
                <w:rFonts w:ascii="Times New Roman" w:hAnsi="Times New Roman" w:cs="Times New Roman"/>
                <w:bCs/>
              </w:rPr>
              <w:t>-</w:t>
            </w:r>
          </w:p>
        </w:tc>
        <w:tc>
          <w:tcPr>
            <w:tcW w:w="1417" w:type="dxa"/>
          </w:tcPr>
          <w:p w14:paraId="4D527F0B" w14:textId="77777777" w:rsidR="00760653" w:rsidRPr="007774B2" w:rsidRDefault="00BC6936" w:rsidP="00D23154">
            <w:pPr>
              <w:ind w:left="-57" w:right="-57"/>
              <w:jc w:val="both"/>
              <w:rPr>
                <w:rFonts w:ascii="Times New Roman" w:hAnsi="Times New Roman" w:cs="Times New Roman"/>
                <w:bCs/>
              </w:rPr>
            </w:pPr>
            <w:proofErr w:type="spellStart"/>
            <w:r w:rsidRPr="007774B2">
              <w:rPr>
                <w:rFonts w:ascii="Times New Roman" w:hAnsi="Times New Roman" w:cs="Times New Roman"/>
              </w:rPr>
              <w:t>Үйл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ажиллагааны</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хэрэгжилтээр</w:t>
            </w:r>
            <w:proofErr w:type="spellEnd"/>
          </w:p>
        </w:tc>
        <w:tc>
          <w:tcPr>
            <w:tcW w:w="851" w:type="dxa"/>
          </w:tcPr>
          <w:p w14:paraId="70E0AA2D" w14:textId="4E7C04F9" w:rsidR="00760653" w:rsidRPr="007774B2" w:rsidRDefault="007674D8"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850" w:type="dxa"/>
          </w:tcPr>
          <w:p w14:paraId="75ED70BD" w14:textId="06D79A67" w:rsidR="00760653" w:rsidRPr="007774B2" w:rsidRDefault="007674D8"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4536" w:type="dxa"/>
          </w:tcPr>
          <w:p w14:paraId="48981279" w14:textId="77777777" w:rsidR="005E6513" w:rsidRPr="007774B2" w:rsidRDefault="005E6513" w:rsidP="005E6513">
            <w:pPr>
              <w:ind w:left="-57" w:right="-57"/>
              <w:rPr>
                <w:rFonts w:ascii="Times New Roman" w:hAnsi="Times New Roman" w:cs="Times New Roman"/>
                <w:bCs/>
                <w:i/>
                <w:iCs/>
                <w:lang w:val="mn-MN"/>
              </w:rPr>
            </w:pPr>
            <w:r w:rsidRPr="007774B2">
              <w:rPr>
                <w:rFonts w:ascii="Times New Roman" w:hAnsi="Times New Roman" w:cs="Times New Roman"/>
                <w:b/>
                <w:i/>
                <w:iCs/>
                <w:lang w:val="mn-MN"/>
              </w:rPr>
              <w:t>Эрх зүйн орчинг боловсронгуй болгох чиглэлээр</w:t>
            </w:r>
            <w:r w:rsidRPr="007774B2">
              <w:rPr>
                <w:rFonts w:ascii="Times New Roman" w:hAnsi="Times New Roman" w:cs="Times New Roman"/>
                <w:bCs/>
                <w:i/>
                <w:iCs/>
                <w:lang w:val="mn-MN"/>
              </w:rPr>
              <w:t>:</w:t>
            </w:r>
          </w:p>
          <w:p w14:paraId="0D0985CD" w14:textId="6A68FEE0" w:rsidR="005E6513" w:rsidRPr="007774B2" w:rsidRDefault="005E6513" w:rsidP="005E6513">
            <w:pPr>
              <w:shd w:val="clear" w:color="auto" w:fill="FFFFFF" w:themeFill="background1"/>
              <w:ind w:right="-57"/>
              <w:jc w:val="both"/>
              <w:rPr>
                <w:rFonts w:ascii="Times New Roman" w:hAnsi="Times New Roman" w:cs="Times New Roman"/>
                <w:lang w:val="mn-MN"/>
              </w:rPr>
            </w:pPr>
            <w:r w:rsidRPr="007774B2">
              <w:rPr>
                <w:rFonts w:ascii="Times New Roman" w:hAnsi="Times New Roman" w:cs="Times New Roman"/>
                <w:b/>
                <w:bCs/>
                <w:lang w:val="mn-MN"/>
              </w:rPr>
              <w:t>1.</w:t>
            </w:r>
            <w:r w:rsidRPr="007774B2">
              <w:rPr>
                <w:rFonts w:ascii="Times New Roman" w:hAnsi="Times New Roman" w:cs="Times New Roman"/>
                <w:lang w:val="mn-MN"/>
              </w:rPr>
              <w:t xml:space="preserve"> Хорооны 2021 оны 226 дугаар тогтоолоор баталсан “Компанийн өрийн хэрэгслийн бүртгэлийн журам”-ын “Ногоон бонд” гаргах зохицуулалтын хүрээнд</w:t>
            </w:r>
            <w:r w:rsidR="00F40090">
              <w:rPr>
                <w:rFonts w:ascii="Times New Roman" w:hAnsi="Times New Roman" w:cs="Times New Roman"/>
                <w:lang w:val="mn-MN"/>
              </w:rPr>
              <w:t xml:space="preserve"> 2023 онд</w:t>
            </w:r>
            <w:r w:rsidRPr="007774B2">
              <w:rPr>
                <w:rFonts w:ascii="Times New Roman" w:hAnsi="Times New Roman" w:cs="Times New Roman"/>
                <w:lang w:val="mn-MN"/>
              </w:rPr>
              <w:t xml:space="preserve"> Монгол Улсад анх удаа “Хаан банк” ХК нэг бүр нь 100,000 төгрөгийн нэрлэсэн үнэтэй 170,000 ширхэг бонд гаргаж, олон нийтээс нийт 17 тэрбум төгрөгийг амжилттай татан төвлөрүүлсэн.</w:t>
            </w:r>
          </w:p>
          <w:p w14:paraId="415EB4C8" w14:textId="4B39ED58" w:rsidR="005E6513" w:rsidRPr="007774B2" w:rsidRDefault="005E6513" w:rsidP="005E6513">
            <w:pPr>
              <w:shd w:val="clear" w:color="auto" w:fill="FFFFFF" w:themeFill="background1"/>
              <w:ind w:right="-57"/>
              <w:jc w:val="both"/>
              <w:rPr>
                <w:rFonts w:ascii="Times New Roman" w:hAnsi="Times New Roman" w:cs="Times New Roman"/>
                <w:lang w:val="mn-MN"/>
              </w:rPr>
            </w:pPr>
            <w:r w:rsidRPr="007774B2">
              <w:rPr>
                <w:rFonts w:ascii="Times New Roman" w:hAnsi="Times New Roman" w:cs="Times New Roman"/>
                <w:b/>
                <w:bCs/>
                <w:lang w:val="mn-MN"/>
              </w:rPr>
              <w:t>2.</w:t>
            </w:r>
            <w:r w:rsidRPr="007774B2">
              <w:rPr>
                <w:rFonts w:ascii="Times New Roman" w:hAnsi="Times New Roman" w:cs="Times New Roman"/>
                <w:lang w:val="mn-MN"/>
              </w:rPr>
              <w:t xml:space="preserve"> Хорооны даргын 2023 оны 232 дугаар тушаалаар  Монголын үнэт цаасны арилжаа эрхлэгчдийн холбооны “Биржийн бус зах зээлийн үнэт цаасны бүртгэлийн журам”-ын шинэчилсэн найруулгыг батламжилснаар дотоодын аж ахуйн нэгжээс биржийн бус зах зээл дээр Монгол Улсын “Ногоон таксономи”-д нийцсэн ногоон бонд гаргах зохицуулалт бүрдсэн. </w:t>
            </w:r>
          </w:p>
          <w:p w14:paraId="694A360B" w14:textId="494EE6E9" w:rsidR="005E6513" w:rsidRPr="007774B2" w:rsidRDefault="005E6513" w:rsidP="005E6513">
            <w:pPr>
              <w:ind w:right="-57"/>
              <w:jc w:val="both"/>
              <w:rPr>
                <w:rFonts w:ascii="Times New Roman" w:hAnsi="Times New Roman" w:cs="Times New Roman"/>
                <w:lang w:val="mn-MN"/>
              </w:rPr>
            </w:pPr>
            <w:r w:rsidRPr="007774B2">
              <w:rPr>
                <w:rFonts w:ascii="Times New Roman" w:eastAsia="Times New Roman" w:hAnsi="Times New Roman" w:cs="Times New Roman"/>
                <w:b/>
                <w:bCs/>
                <w:lang w:val="mn-MN"/>
              </w:rPr>
              <w:lastRenderedPageBreak/>
              <w:t>3.</w:t>
            </w:r>
            <w:r w:rsidR="007F70DA">
              <w:rPr>
                <w:rFonts w:ascii="Times New Roman" w:eastAsia="Times New Roman" w:hAnsi="Times New Roman" w:cs="Times New Roman"/>
              </w:rPr>
              <w:t xml:space="preserve"> </w:t>
            </w:r>
            <w:r w:rsidRPr="007774B2">
              <w:rPr>
                <w:rFonts w:ascii="Times New Roman" w:eastAsia="Times New Roman" w:hAnsi="Times New Roman" w:cs="Times New Roman"/>
                <w:lang w:val="mn-MN"/>
              </w:rPr>
              <w:t>Хороо Олон улсын санхүүгийн корпорацитай хамтран “Монголын хөрөнгийн бирж” ХК-д бүртгэлтэй компаниуд болон бусад үнэт цаас гаргагч аж ахуйн нэгжүүдэд зориулан олон улсын жишигт нийцсэн “Байгаль орчин нийгэм, засаглал (БОНЗ), Тогтвортой байдлын тайлагналын удирдамж”-ийн гарын авлагыг боловсруулсан. Энэ хүрээнд Хороо "Монголын хөрөнгийн бирж" ХК-ийн "Үнэт цаас гаргагчаас олон нийтэд хүргэх мэдээллийн журам"-ыг батламжилсан. Ингэснээр тогтвортой хөгжлийн зорилтын хүрээнд “Монголын хөрөнгийн бирж” ХК-д бүртгэлтэй нэр бүхий 18 компани сайн дурын үндсэн  дээр БОНЗ-ын тайланг гарган, олон нийтэд  мэдээлсэн</w:t>
            </w:r>
            <w:r w:rsidRPr="007774B2">
              <w:rPr>
                <w:rFonts w:ascii="Times New Roman" w:eastAsia="Times New Roman" w:hAnsi="Times New Roman" w:cs="Times New Roman"/>
              </w:rPr>
              <w:t>;</w:t>
            </w:r>
          </w:p>
          <w:p w14:paraId="5F083895" w14:textId="7677075F"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4.</w:t>
            </w:r>
            <w:r w:rsidRPr="007774B2">
              <w:rPr>
                <w:rFonts w:ascii="Times New Roman" w:hAnsi="Times New Roman" w:cs="Times New Roman"/>
                <w:lang w:val="mn-MN"/>
              </w:rPr>
              <w:t xml:space="preserve"> Хорооны 2023 оны 794 дүгээр тогтоолоор “Тогтвортой хөгжлийн зорилтын хүрээнд банк бус санхүүгийн итгэлцлийн үйлчилгээний зохистой харьцаа”-г баталсан. Ингэснээр ББСБ тогтвортой хөгжлийн зорилтыг хэрэгжүүлэх хөшүүрэг бий болсон</w:t>
            </w:r>
            <w:r w:rsidRPr="007774B2">
              <w:rPr>
                <w:rFonts w:ascii="Times New Roman" w:hAnsi="Times New Roman" w:cs="Times New Roman"/>
              </w:rPr>
              <w:t>;</w:t>
            </w:r>
          </w:p>
          <w:p w14:paraId="596F9E3E" w14:textId="4F62BB6D"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5.</w:t>
            </w:r>
            <w:r w:rsidRPr="007774B2">
              <w:rPr>
                <w:rFonts w:ascii="Times New Roman" w:hAnsi="Times New Roman" w:cs="Times New Roman"/>
                <w:lang w:val="mn-MN"/>
              </w:rPr>
              <w:t xml:space="preserve"> Хорооны 2023 оны 526 дугаар тогтоолоор “Банк бус санхүүгийн байгууллагуудад зориулсан байгаль орчин, нийгмийн хүчин зүйлтэй холбоотой эрсдэлийн удирдлагын журам боловсруулах үлгэрчилсэн заавар”-ыг баталсны дагуу үлгэрчилсэн зааврыг нэр бүхий 3 ББСБ нэвтрүүлж, ногоон эх үүсвэрийг татсан</w:t>
            </w:r>
            <w:r w:rsidRPr="007774B2">
              <w:rPr>
                <w:rFonts w:ascii="Times New Roman" w:hAnsi="Times New Roman" w:cs="Times New Roman"/>
              </w:rPr>
              <w:t>;</w:t>
            </w:r>
            <w:r w:rsidRPr="007774B2">
              <w:rPr>
                <w:rFonts w:ascii="Times New Roman" w:hAnsi="Times New Roman" w:cs="Times New Roman"/>
                <w:lang w:val="mn-MN"/>
              </w:rPr>
              <w:t xml:space="preserve"> </w:t>
            </w:r>
          </w:p>
          <w:p w14:paraId="2A16A2DE" w14:textId="0AE440ED" w:rsidR="005E6513" w:rsidRPr="007774B2" w:rsidRDefault="005E6513" w:rsidP="005E6513">
            <w:pPr>
              <w:ind w:left="-417" w:right="-57"/>
              <w:jc w:val="both"/>
              <w:rPr>
                <w:rFonts w:ascii="Times New Roman" w:eastAsia="Times New Roman" w:hAnsi="Times New Roman" w:cs="Times New Roman"/>
                <w:b/>
                <w:bCs/>
                <w:i/>
                <w:iCs/>
                <w:lang w:val="mn-MN"/>
              </w:rPr>
            </w:pPr>
            <w:r w:rsidRPr="007774B2">
              <w:rPr>
                <w:rFonts w:ascii="Times New Roman" w:eastAsia="Times New Roman" w:hAnsi="Times New Roman" w:cs="Times New Roman"/>
                <w:b/>
                <w:bCs/>
                <w:i/>
                <w:iCs/>
                <w:lang w:val="mn-MN"/>
              </w:rPr>
              <w:t>Зо</w:t>
            </w:r>
            <w:r w:rsidR="002963F3">
              <w:rPr>
                <w:rFonts w:ascii="Times New Roman" w:eastAsia="Times New Roman" w:hAnsi="Times New Roman" w:cs="Times New Roman"/>
                <w:b/>
                <w:bCs/>
                <w:i/>
                <w:iCs/>
              </w:rPr>
              <w:t xml:space="preserve"> </w:t>
            </w:r>
            <w:bookmarkStart w:id="2" w:name="_GoBack"/>
            <w:bookmarkEnd w:id="2"/>
            <w:r w:rsidRPr="007774B2">
              <w:rPr>
                <w:rFonts w:ascii="Times New Roman" w:eastAsia="Times New Roman" w:hAnsi="Times New Roman" w:cs="Times New Roman"/>
                <w:b/>
                <w:bCs/>
                <w:i/>
                <w:iCs/>
                <w:lang w:val="mn-MN"/>
              </w:rPr>
              <w:t>Зохицуулалтын салбарыг чадавхжуулах чигчиглэлээр:</w:t>
            </w:r>
          </w:p>
          <w:p w14:paraId="4172D92B" w14:textId="2FAC7B24"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1.</w:t>
            </w:r>
            <w:r w:rsidR="00725A4E" w:rsidRPr="007774B2">
              <w:rPr>
                <w:rFonts w:ascii="Times New Roman" w:hAnsi="Times New Roman" w:cs="Times New Roman"/>
                <w:lang w:val="mn-MN"/>
              </w:rPr>
              <w:t xml:space="preserve"> </w:t>
            </w:r>
            <w:r w:rsidRPr="007774B2">
              <w:rPr>
                <w:rFonts w:ascii="Times New Roman" w:hAnsi="Times New Roman" w:cs="Times New Roman"/>
                <w:lang w:val="mn-MN"/>
              </w:rPr>
              <w:t xml:space="preserve">Хорооноос ТОП-100 аж ахуйн нэгжүүдэд тогтвортой санхүүжилт, ногоон бондын ач холбогдлыг таниулах, хөрөнгийн зах зээлээр дамжуулан санхүүжилт татах боломжийн талаар мэдээлэл өгөх зорилгоор Олон улсын </w:t>
            </w:r>
            <w:r w:rsidRPr="007774B2">
              <w:rPr>
                <w:rFonts w:ascii="Times New Roman" w:hAnsi="Times New Roman" w:cs="Times New Roman"/>
                <w:lang w:val="mn-MN"/>
              </w:rPr>
              <w:lastRenderedPageBreak/>
              <w:t>санхүүгийн корпораци болон Монголын үндэсний худалдаа аж үйлдвэрийн танхимтай хамтран 2023 оны 3 дугаар сарын 13-ны өдөр “Санхүүжилт татах боломж, тогтвортой санхүү болон ногоон бонд” сэдэвт хурлыг зохион байгуулсан.</w:t>
            </w:r>
          </w:p>
          <w:p w14:paraId="6E021B23" w14:textId="06FCEB86"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2.</w:t>
            </w:r>
            <w:r w:rsidR="00725A4E" w:rsidRPr="007774B2">
              <w:rPr>
                <w:rFonts w:ascii="Times New Roman" w:hAnsi="Times New Roman" w:cs="Times New Roman"/>
                <w:lang w:val="mn-MN"/>
              </w:rPr>
              <w:t xml:space="preserve"> </w:t>
            </w:r>
            <w:proofErr w:type="spellStart"/>
            <w:r w:rsidRPr="007774B2">
              <w:rPr>
                <w:rFonts w:ascii="Times New Roman" w:hAnsi="Times New Roman" w:cs="Times New Roman"/>
              </w:rPr>
              <w:t>Олон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улсын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Санхүүгийн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хүртээмжийн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нийгэмлэг</w:t>
            </w:r>
            <w:proofErr w:type="spellEnd"/>
            <w:r w:rsidRPr="007774B2">
              <w:rPr>
                <w:rFonts w:ascii="Times New Roman" w:hAnsi="Times New Roman" w:cs="Times New Roman"/>
              </w:rPr>
              <w:t xml:space="preserve"> (AFI) </w:t>
            </w:r>
            <w:proofErr w:type="spellStart"/>
            <w:r w:rsidRPr="007774B2">
              <w:rPr>
                <w:rFonts w:ascii="Times New Roman" w:hAnsi="Times New Roman" w:cs="Times New Roman"/>
              </w:rPr>
              <w:t>болон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Холбооны</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Бүгд</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Найрамдах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Ардчилсан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Балба</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Улсын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Төв</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банкны</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төлөөлөгчдөд</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Даатгалын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салбарын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өнөөгийн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нөхцөл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байдал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Ногоон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даатгалын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талаар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танилцуулга</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хийж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мэдээлэл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өгч</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санал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солилцож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ажилласан</w:t>
            </w:r>
            <w:proofErr w:type="spellEnd"/>
            <w:r w:rsidRPr="007774B2">
              <w:rPr>
                <w:rFonts w:ascii="Times New Roman" w:hAnsi="Times New Roman" w:cs="Times New Roman"/>
              </w:rPr>
              <w:t>.</w:t>
            </w:r>
          </w:p>
          <w:p w14:paraId="61D809B8" w14:textId="2FE4262F"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3.</w:t>
            </w:r>
            <w:r w:rsidR="00725A4E" w:rsidRPr="007774B2">
              <w:rPr>
                <w:rFonts w:ascii="Times New Roman" w:hAnsi="Times New Roman" w:cs="Times New Roman"/>
                <w:lang w:val="mn-MN"/>
              </w:rPr>
              <w:t xml:space="preserve"> </w:t>
            </w:r>
            <w:r w:rsidRPr="007774B2">
              <w:rPr>
                <w:rFonts w:ascii="Times New Roman" w:hAnsi="Times New Roman" w:cs="Times New Roman"/>
                <w:lang w:val="mn-MN"/>
              </w:rPr>
              <w:t>Хороо, Монголын тогтвортой санхүүгийн холбоо (ТоС Холбоо), Олон улсын санхүүгийн корпораци (ОУСК) хамтран БОНЗ-ын тогтолцоо, стандартыг нэвтрүүлэх суурь ойлголт, мэдлэгийг олгох, ОУ-ын чиг хандлага, сайн туршлагыг таниулах, ойлголтыг сайжруулах зорилгоор  “ББСБ-уудад зориулсан Тогтвортой санхүүгийн сургалт”-ыг 2023 оны 3 дугаар сарын 27-ны өдөр зохион байгуулсан.</w:t>
            </w:r>
          </w:p>
          <w:p w14:paraId="37F9C95C" w14:textId="5E999CE2"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4.</w:t>
            </w:r>
            <w:r w:rsidR="00725A4E" w:rsidRPr="007774B2">
              <w:rPr>
                <w:rFonts w:ascii="Times New Roman" w:hAnsi="Times New Roman" w:cs="Times New Roman"/>
                <w:lang w:val="mn-MN"/>
              </w:rPr>
              <w:t xml:space="preserve"> </w:t>
            </w:r>
            <w:r w:rsidRPr="007774B2">
              <w:rPr>
                <w:rFonts w:ascii="Times New Roman" w:hAnsi="Times New Roman" w:cs="Times New Roman"/>
                <w:lang w:val="mn-MN"/>
              </w:rPr>
              <w:t xml:space="preserve">Хороо, Азийн хөгжлийн банк </w:t>
            </w:r>
            <w:r w:rsidRPr="007774B2">
              <w:rPr>
                <w:rFonts w:ascii="Times New Roman" w:hAnsi="Times New Roman" w:cs="Times New Roman"/>
              </w:rPr>
              <w:t>(</w:t>
            </w:r>
            <w:r w:rsidRPr="007774B2">
              <w:rPr>
                <w:rFonts w:ascii="Times New Roman" w:hAnsi="Times New Roman" w:cs="Times New Roman"/>
                <w:lang w:val="mn-MN"/>
              </w:rPr>
              <w:t>АХБ</w:t>
            </w:r>
            <w:r w:rsidRPr="007774B2">
              <w:rPr>
                <w:rFonts w:ascii="Times New Roman" w:hAnsi="Times New Roman" w:cs="Times New Roman"/>
              </w:rPr>
              <w:t>)</w:t>
            </w:r>
            <w:r w:rsidRPr="007774B2">
              <w:rPr>
                <w:rFonts w:ascii="Times New Roman" w:hAnsi="Times New Roman" w:cs="Times New Roman"/>
                <w:lang w:val="mn-MN"/>
              </w:rPr>
              <w:t xml:space="preserve"> хамтран “Хүртээмжтэй, ногоон сэргэлтийн төлөө Зүүн Азийн жендерийн тэгш байдлыг эрчимжүүлэх” төслийг 2022 оны 9 дүгээр сараас эхлэн хэрэгжүүлж, ХЗХ-ны гишүүн эмэгтэй удирдлага бүхий бичил, жижиг, дунд үйлдвэрлэл эрхлэгчдийн ногоон санхүүжилтийн хэрэгцээг тодорхойлох суурь судалгааг хийж гүйцэтгэсэн. Суурь судалгааны үр дүнд хадгаламж, зээлийн хоршоодоор дамжуулан ногоон санхүүжилтийг нэмэгдүүлэх, ногоон зээлийн бүтээгдэхүүнийг хөгжүүлэх олон улсын туршлагыг нэвтрүүлэх боломжийн талаар </w:t>
            </w:r>
            <w:r w:rsidRPr="007774B2">
              <w:rPr>
                <w:rFonts w:ascii="Times New Roman" w:hAnsi="Times New Roman" w:cs="Times New Roman"/>
                <w:lang w:val="mn-MN"/>
              </w:rPr>
              <w:lastRenderedPageBreak/>
              <w:t>хэлэлцүүлэх уулзалтыг зохион байгуулж нийт хадгаламж, зээлийн хоршоод болон дэмжигч байгууллага, бодлого тодорхойлогч зэрэг 200 гаруй төлөөлөгчид оролцсон.</w:t>
            </w:r>
          </w:p>
          <w:p w14:paraId="2FD84EF6" w14:textId="462472B4" w:rsidR="00760653" w:rsidRPr="007774B2" w:rsidRDefault="005E6513" w:rsidP="005E6513">
            <w:pPr>
              <w:ind w:right="-57"/>
              <w:jc w:val="both"/>
              <w:rPr>
                <w:rFonts w:ascii="Times New Roman" w:hAnsi="Times New Roman" w:cs="Times New Roman"/>
              </w:rPr>
            </w:pPr>
            <w:r w:rsidRPr="007774B2">
              <w:rPr>
                <w:rFonts w:ascii="Times New Roman" w:hAnsi="Times New Roman" w:cs="Times New Roman"/>
                <w:b/>
                <w:bCs/>
                <w:lang w:val="mn-MN"/>
              </w:rPr>
              <w:t>5.</w:t>
            </w:r>
            <w:r w:rsidR="00725A4E" w:rsidRPr="007774B2">
              <w:rPr>
                <w:rFonts w:ascii="Times New Roman" w:hAnsi="Times New Roman" w:cs="Times New Roman"/>
                <w:lang w:val="mn-MN"/>
              </w:rPr>
              <w:t xml:space="preserve"> </w:t>
            </w:r>
            <w:proofErr w:type="spellStart"/>
            <w:r w:rsidRPr="007774B2">
              <w:rPr>
                <w:rFonts w:ascii="Times New Roman" w:hAnsi="Times New Roman" w:cs="Times New Roman"/>
              </w:rPr>
              <w:t>Азийн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хөгжлийн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банкны</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санхүүжилтээр</w:t>
            </w:r>
            <w:proofErr w:type="spellEnd"/>
            <w:r w:rsidRPr="007774B2">
              <w:rPr>
                <w:rFonts w:ascii="Times New Roman" w:hAnsi="Times New Roman" w:cs="Times New Roman"/>
              </w:rPr>
              <w:t xml:space="preserve"> </w:t>
            </w:r>
            <w:r w:rsidRPr="007774B2">
              <w:rPr>
                <w:rFonts w:ascii="Times New Roman" w:hAnsi="Times New Roman" w:cs="Times New Roman"/>
                <w:lang w:val="mn-MN"/>
              </w:rPr>
              <w:t>хэрэгжиж</w:t>
            </w:r>
            <w:r w:rsidRPr="007774B2">
              <w:rPr>
                <w:rFonts w:ascii="Times New Roman" w:hAnsi="Times New Roman" w:cs="Times New Roman"/>
              </w:rPr>
              <w:t xml:space="preserve"> </w:t>
            </w:r>
            <w:proofErr w:type="spellStart"/>
            <w:r w:rsidRPr="007774B2">
              <w:rPr>
                <w:rFonts w:ascii="Times New Roman" w:hAnsi="Times New Roman" w:cs="Times New Roman"/>
              </w:rPr>
              <w:t>буй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Ногоон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санхүүжилтийн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бодлого</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зохицуулалтын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орчинг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сайжруулах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үнэлэх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төслийн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ажлын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хэс</w:t>
            </w:r>
            <w:proofErr w:type="spellEnd"/>
            <w:r w:rsidRPr="007774B2">
              <w:rPr>
                <w:rFonts w:ascii="Times New Roman" w:hAnsi="Times New Roman" w:cs="Times New Roman"/>
                <w:lang w:val="mn-MN"/>
              </w:rPr>
              <w:t xml:space="preserve">гийн төлөөлөлтэй </w:t>
            </w:r>
            <w:proofErr w:type="spellStart"/>
            <w:r w:rsidRPr="007774B2">
              <w:rPr>
                <w:rFonts w:ascii="Times New Roman" w:hAnsi="Times New Roman" w:cs="Times New Roman"/>
              </w:rPr>
              <w:t>ногоон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даатгалын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эрх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зүйн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зохицуулалт</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бүтээгдэхүүн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үйлчилгээ</w:t>
            </w:r>
            <w:proofErr w:type="spellEnd"/>
            <w:r w:rsidRPr="007774B2">
              <w:rPr>
                <w:rFonts w:ascii="Times New Roman" w:hAnsi="Times New Roman" w:cs="Times New Roman"/>
                <w:lang w:val="mn-MN"/>
              </w:rPr>
              <w:t xml:space="preserve">г боловсронгуй болгох чиглэлээр хамтран ажиллаж байна. </w:t>
            </w:r>
          </w:p>
        </w:tc>
      </w:tr>
      <w:tr w:rsidR="00A57AE7" w:rsidRPr="007774B2" w14:paraId="15EE0D85" w14:textId="77777777" w:rsidTr="008D2832">
        <w:tc>
          <w:tcPr>
            <w:tcW w:w="14459" w:type="dxa"/>
            <w:gridSpan w:val="13"/>
          </w:tcPr>
          <w:p w14:paraId="76A0E7EB" w14:textId="77EFB23B" w:rsidR="00087922" w:rsidRPr="007774B2" w:rsidRDefault="00087922" w:rsidP="00D23154">
            <w:pPr>
              <w:ind w:left="-57" w:right="-57"/>
              <w:jc w:val="both"/>
              <w:rPr>
                <w:rFonts w:ascii="Times New Roman" w:hAnsi="Times New Roman" w:cs="Times New Roman"/>
                <w:b/>
                <w:bCs/>
                <w:lang w:val="mn-MN"/>
              </w:rPr>
            </w:pPr>
            <w:r w:rsidRPr="007774B2">
              <w:rPr>
                <w:rFonts w:ascii="Times New Roman" w:hAnsi="Times New Roman" w:cs="Times New Roman"/>
                <w:b/>
                <w:bCs/>
              </w:rPr>
              <w:lastRenderedPageBreak/>
              <w:t>3.</w:t>
            </w:r>
            <w:proofErr w:type="gramStart"/>
            <w:r w:rsidRPr="007774B2">
              <w:rPr>
                <w:rFonts w:ascii="Times New Roman" w:hAnsi="Times New Roman" w:cs="Times New Roman"/>
                <w:b/>
                <w:bCs/>
              </w:rPr>
              <w:t>7.Газрын</w:t>
            </w:r>
            <w:proofErr w:type="gramEnd"/>
            <w:r w:rsidRPr="007774B2">
              <w:rPr>
                <w:rFonts w:ascii="Times New Roman" w:hAnsi="Times New Roman" w:cs="Times New Roman"/>
                <w:b/>
                <w:bCs/>
              </w:rPr>
              <w:t xml:space="preserve"> </w:t>
            </w:r>
            <w:proofErr w:type="spellStart"/>
            <w:r w:rsidRPr="007774B2">
              <w:rPr>
                <w:rFonts w:ascii="Times New Roman" w:hAnsi="Times New Roman" w:cs="Times New Roman"/>
                <w:b/>
                <w:bCs/>
              </w:rPr>
              <w:t>харилцаа</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барилга</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хот</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байгуулалтын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нэгдмэл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удирдлага</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менежментийн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тогтолцоог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бэхжүүлж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иргэдийн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орон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сууцны</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хангамжийг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нэмэгдүүлн</w:t>
            </w:r>
            <w:proofErr w:type="spellEnd"/>
            <w:r w:rsidR="00B15331" w:rsidRPr="007774B2">
              <w:rPr>
                <w:rFonts w:ascii="Times New Roman" w:hAnsi="Times New Roman" w:cs="Times New Roman"/>
                <w:b/>
                <w:bCs/>
                <w:lang w:val="mn-MN"/>
              </w:rPr>
              <w:t>э</w:t>
            </w:r>
            <w:r w:rsidR="005E6513" w:rsidRPr="007774B2">
              <w:rPr>
                <w:rFonts w:ascii="Times New Roman" w:hAnsi="Times New Roman" w:cs="Times New Roman"/>
                <w:b/>
                <w:bCs/>
                <w:lang w:val="mn-MN"/>
              </w:rPr>
              <w:t>.</w:t>
            </w:r>
          </w:p>
        </w:tc>
      </w:tr>
      <w:tr w:rsidR="00A57AE7" w:rsidRPr="007774B2" w14:paraId="6BB1EE3C" w14:textId="77777777" w:rsidTr="008D2832">
        <w:tc>
          <w:tcPr>
            <w:tcW w:w="425" w:type="dxa"/>
          </w:tcPr>
          <w:p w14:paraId="7B38AA85" w14:textId="0514D774" w:rsidR="00087922" w:rsidRPr="007774B2" w:rsidRDefault="00087922" w:rsidP="00D23154">
            <w:pPr>
              <w:ind w:left="-57" w:right="-57"/>
              <w:jc w:val="center"/>
              <w:rPr>
                <w:rFonts w:ascii="Times New Roman" w:hAnsi="Times New Roman" w:cs="Times New Roman"/>
                <w:lang w:bidi="mn-Mong-CN"/>
              </w:rPr>
            </w:pPr>
            <w:r w:rsidRPr="007774B2">
              <w:rPr>
                <w:rFonts w:ascii="Times New Roman" w:hAnsi="Times New Roman" w:cs="Times New Roman"/>
                <w:lang w:bidi="mn-Mong-CN"/>
              </w:rPr>
              <w:t>3</w:t>
            </w:r>
          </w:p>
        </w:tc>
        <w:tc>
          <w:tcPr>
            <w:tcW w:w="852" w:type="dxa"/>
          </w:tcPr>
          <w:p w14:paraId="47F2A428" w14:textId="0EBAF949" w:rsidR="00087922" w:rsidRPr="007774B2" w:rsidRDefault="00087922" w:rsidP="00BD3682">
            <w:pPr>
              <w:ind w:left="-57" w:right="-57"/>
              <w:jc w:val="center"/>
              <w:rPr>
                <w:rFonts w:ascii="Times New Roman" w:hAnsi="Times New Roman" w:cs="Times New Roman"/>
                <w:bCs/>
                <w:lang w:val="mn-MN"/>
              </w:rPr>
            </w:pPr>
            <w:r w:rsidRPr="007774B2">
              <w:rPr>
                <w:rFonts w:ascii="Times New Roman" w:hAnsi="Times New Roman" w:cs="Times New Roman"/>
                <w:bCs/>
              </w:rPr>
              <w:t>3</w:t>
            </w:r>
            <w:r w:rsidRPr="007774B2">
              <w:rPr>
                <w:rFonts w:ascii="Times New Roman" w:hAnsi="Times New Roman" w:cs="Times New Roman"/>
                <w:bCs/>
                <w:lang w:val="mn-MN"/>
              </w:rPr>
              <w:t>.7.10</w:t>
            </w:r>
          </w:p>
        </w:tc>
        <w:tc>
          <w:tcPr>
            <w:tcW w:w="567" w:type="dxa"/>
          </w:tcPr>
          <w:p w14:paraId="4290657A" w14:textId="35FA2A28" w:rsidR="00087922" w:rsidRPr="007774B2" w:rsidRDefault="00087922"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1</w:t>
            </w:r>
          </w:p>
        </w:tc>
        <w:tc>
          <w:tcPr>
            <w:tcW w:w="708" w:type="dxa"/>
            <w:gridSpan w:val="2"/>
          </w:tcPr>
          <w:p w14:paraId="3891D615" w14:textId="46D1F762" w:rsidR="00087922" w:rsidRPr="007774B2" w:rsidRDefault="00087922"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2023</w:t>
            </w:r>
          </w:p>
        </w:tc>
        <w:tc>
          <w:tcPr>
            <w:tcW w:w="851" w:type="dxa"/>
          </w:tcPr>
          <w:p w14:paraId="3CCF6CCE" w14:textId="77777777" w:rsidR="00087922" w:rsidRPr="007774B2" w:rsidRDefault="00087922" w:rsidP="0035291E">
            <w:pPr>
              <w:ind w:left="-57" w:right="-57"/>
              <w:jc w:val="center"/>
              <w:rPr>
                <w:rFonts w:ascii="Times New Roman" w:hAnsi="Times New Roman" w:cs="Times New Roman"/>
                <w:lang w:val="mn-MN"/>
              </w:rPr>
            </w:pPr>
            <w:r w:rsidRPr="007774B2">
              <w:rPr>
                <w:rFonts w:ascii="Times New Roman" w:hAnsi="Times New Roman" w:cs="Times New Roman"/>
              </w:rPr>
              <w:t>Б</w:t>
            </w:r>
            <w:r w:rsidRPr="007774B2">
              <w:rPr>
                <w:rFonts w:ascii="Times New Roman" w:hAnsi="Times New Roman" w:cs="Times New Roman"/>
                <w:lang w:val="mn-MN"/>
              </w:rPr>
              <w:t>ХБЯ</w:t>
            </w:r>
          </w:p>
          <w:p w14:paraId="4DCEB886" w14:textId="05F7291B" w:rsidR="00087922" w:rsidRPr="007774B2" w:rsidRDefault="00087922" w:rsidP="0035291E">
            <w:pPr>
              <w:ind w:left="-57" w:right="-57"/>
              <w:jc w:val="center"/>
              <w:rPr>
                <w:rFonts w:ascii="Times New Roman" w:hAnsi="Times New Roman" w:cs="Times New Roman"/>
                <w:bCs/>
              </w:rPr>
            </w:pPr>
            <w:r w:rsidRPr="007774B2">
              <w:rPr>
                <w:rFonts w:ascii="Times New Roman" w:hAnsi="Times New Roman" w:cs="Times New Roman"/>
                <w:lang w:val="mn-MN"/>
              </w:rPr>
              <w:t>ХНХЯ</w:t>
            </w:r>
          </w:p>
        </w:tc>
        <w:tc>
          <w:tcPr>
            <w:tcW w:w="850" w:type="dxa"/>
          </w:tcPr>
          <w:p w14:paraId="0E89BECE" w14:textId="6A685456" w:rsidR="00087922" w:rsidRPr="007774B2" w:rsidRDefault="00087922"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Улсын төсөв</w:t>
            </w:r>
          </w:p>
        </w:tc>
        <w:tc>
          <w:tcPr>
            <w:tcW w:w="993" w:type="dxa"/>
          </w:tcPr>
          <w:p w14:paraId="55699B4F" w14:textId="3194B327" w:rsidR="00087922" w:rsidRPr="007774B2" w:rsidRDefault="00EB5ACB" w:rsidP="00BD3682">
            <w:pPr>
              <w:ind w:left="-57" w:right="-57"/>
              <w:jc w:val="center"/>
              <w:rPr>
                <w:rFonts w:ascii="Times New Roman" w:hAnsi="Times New Roman" w:cs="Times New Roman"/>
                <w:bCs/>
                <w:lang w:val="mn-MN"/>
              </w:rPr>
            </w:pPr>
            <w:r w:rsidRPr="007774B2">
              <w:rPr>
                <w:rFonts w:ascii="Times New Roman" w:hAnsi="Times New Roman" w:cs="Times New Roman"/>
              </w:rPr>
              <w:t>416,666.7</w:t>
            </w:r>
          </w:p>
        </w:tc>
        <w:tc>
          <w:tcPr>
            <w:tcW w:w="1559" w:type="dxa"/>
          </w:tcPr>
          <w:p w14:paraId="4F780190" w14:textId="124029DC" w:rsidR="00087922" w:rsidRPr="007774B2" w:rsidRDefault="00087922" w:rsidP="00D23154">
            <w:pPr>
              <w:ind w:left="-57" w:right="-57"/>
              <w:jc w:val="both"/>
              <w:rPr>
                <w:rFonts w:ascii="Times New Roman" w:hAnsi="Times New Roman" w:cs="Times New Roman"/>
                <w:bCs/>
              </w:rPr>
            </w:pPr>
            <w:r w:rsidRPr="007774B2">
              <w:rPr>
                <w:rFonts w:ascii="Times New Roman" w:hAnsi="Times New Roman" w:cs="Times New Roman"/>
              </w:rPr>
              <w:t xml:space="preserve">2013 </w:t>
            </w:r>
            <w:proofErr w:type="spellStart"/>
            <w:r w:rsidRPr="007774B2">
              <w:rPr>
                <w:rFonts w:ascii="Times New Roman" w:hAnsi="Times New Roman" w:cs="Times New Roman"/>
              </w:rPr>
              <w:t>оноос</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хойш</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ипотекийн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зээлийг</w:t>
            </w:r>
            <w:proofErr w:type="spellEnd"/>
            <w:r w:rsidRPr="007774B2">
              <w:rPr>
                <w:rFonts w:ascii="Times New Roman" w:hAnsi="Times New Roman" w:cs="Times New Roman"/>
              </w:rPr>
              <w:t xml:space="preserve"> 8 </w:t>
            </w:r>
            <w:proofErr w:type="spellStart"/>
            <w:r w:rsidRPr="007774B2">
              <w:rPr>
                <w:rFonts w:ascii="Times New Roman" w:hAnsi="Times New Roman" w:cs="Times New Roman"/>
              </w:rPr>
              <w:t>хувиар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олгож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байна</w:t>
            </w:r>
            <w:proofErr w:type="spellEnd"/>
            <w:r w:rsidRPr="007774B2">
              <w:rPr>
                <w:rFonts w:ascii="Times New Roman" w:hAnsi="Times New Roman" w:cs="Times New Roman"/>
              </w:rPr>
              <w:t>.</w:t>
            </w:r>
          </w:p>
        </w:tc>
        <w:tc>
          <w:tcPr>
            <w:tcW w:w="1417" w:type="dxa"/>
          </w:tcPr>
          <w:p w14:paraId="49E0BF50" w14:textId="646EA040" w:rsidR="00087922" w:rsidRPr="007774B2" w:rsidRDefault="00087922" w:rsidP="00D23154">
            <w:pPr>
              <w:ind w:left="-57" w:right="-57"/>
              <w:jc w:val="both"/>
              <w:rPr>
                <w:rFonts w:ascii="Times New Roman" w:hAnsi="Times New Roman" w:cs="Times New Roman"/>
              </w:rPr>
            </w:pPr>
            <w:proofErr w:type="spellStart"/>
            <w:r w:rsidRPr="007774B2">
              <w:rPr>
                <w:rFonts w:ascii="Times New Roman" w:hAnsi="Times New Roman" w:cs="Times New Roman"/>
              </w:rPr>
              <w:t>Зээл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олгох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ажлыг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холбогдох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байгууллагуудтай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хамтран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үе</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шаттай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зохион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байгуулна</w:t>
            </w:r>
            <w:proofErr w:type="spellEnd"/>
            <w:r w:rsidRPr="007774B2">
              <w:rPr>
                <w:rFonts w:ascii="Times New Roman" w:hAnsi="Times New Roman" w:cs="Times New Roman"/>
              </w:rPr>
              <w:t>.</w:t>
            </w:r>
          </w:p>
        </w:tc>
        <w:tc>
          <w:tcPr>
            <w:tcW w:w="851" w:type="dxa"/>
          </w:tcPr>
          <w:p w14:paraId="4E183D46" w14:textId="4B5A1D02" w:rsidR="00087922" w:rsidRPr="007774B2" w:rsidRDefault="00BD3682"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850" w:type="dxa"/>
          </w:tcPr>
          <w:p w14:paraId="12F37EC6" w14:textId="5B17BF99" w:rsidR="00087922" w:rsidRPr="007774B2" w:rsidRDefault="00BD3682"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4536" w:type="dxa"/>
          </w:tcPr>
          <w:p w14:paraId="7BA074C9" w14:textId="7F512CBE" w:rsidR="005E6513" w:rsidRPr="007774B2" w:rsidRDefault="005E6513" w:rsidP="005E6513">
            <w:pPr>
              <w:ind w:right="-57"/>
              <w:jc w:val="both"/>
              <w:rPr>
                <w:rFonts w:ascii="Times New Roman" w:hAnsi="Times New Roman" w:cs="Times New Roman"/>
                <w:lang w:val="mn-MN" w:eastAsia="ja-JP"/>
              </w:rPr>
            </w:pPr>
            <w:r w:rsidRPr="007774B2">
              <w:rPr>
                <w:rFonts w:ascii="Times New Roman" w:hAnsi="Times New Roman" w:cs="Times New Roman"/>
                <w:b/>
                <w:bCs/>
                <w:lang w:val="mn-MN" w:eastAsia="ja-JP"/>
              </w:rPr>
              <w:t>1.</w:t>
            </w:r>
            <w:r w:rsidR="00725A4E" w:rsidRPr="007774B2">
              <w:rPr>
                <w:rFonts w:ascii="Times New Roman" w:hAnsi="Times New Roman" w:cs="Times New Roman"/>
                <w:lang w:val="mn-MN" w:eastAsia="ja-JP"/>
              </w:rPr>
              <w:t xml:space="preserve"> </w:t>
            </w:r>
            <w:r w:rsidRPr="007774B2">
              <w:rPr>
                <w:rFonts w:ascii="Times New Roman" w:hAnsi="Times New Roman" w:cs="Times New Roman"/>
                <w:lang w:val="mn-MN" w:eastAsia="ja-JP"/>
              </w:rPr>
              <w:t xml:space="preserve">Хороо, Хөдөлмөр, нийгмийн хамгааллын яамтай хамтран хөдөлмөр эрхлэлтийг нэмэгдүүлэх, ажлын байр шинээр бий болох хадгалах, хамгаалах зорилгоор хувиараа хөдөлмөр эрхлэгч, иргэн, бичил үйлдвэрлэл үйлчилгээ эрхлэгч, нөхөрлөл, хоршооны хэлбэрээр үйлдвэрлэл үйлчилгээ эрхлэгчдэд богино хугацааны эргэлтийн хөрөнгийн санхүүгийн дэмжлэгийг шинэ технологи </w:t>
            </w:r>
            <w:r w:rsidRPr="007774B2">
              <w:rPr>
                <w:rFonts w:ascii="Times New Roman" w:hAnsi="Times New Roman" w:cs="Times New Roman"/>
                <w:lang w:eastAsia="ja-JP"/>
              </w:rPr>
              <w:t>(</w:t>
            </w:r>
            <w:r w:rsidRPr="007774B2">
              <w:rPr>
                <w:rFonts w:ascii="Times New Roman" w:hAnsi="Times New Roman" w:cs="Times New Roman"/>
                <w:lang w:val="mn-MN" w:eastAsia="ja-JP"/>
              </w:rPr>
              <w:t>Финтек</w:t>
            </w:r>
            <w:r w:rsidRPr="007774B2">
              <w:rPr>
                <w:rFonts w:ascii="Times New Roman" w:hAnsi="Times New Roman" w:cs="Times New Roman"/>
                <w:lang w:eastAsia="ja-JP"/>
              </w:rPr>
              <w:t>)</w:t>
            </w:r>
            <w:r w:rsidRPr="007774B2">
              <w:rPr>
                <w:rFonts w:ascii="Times New Roman" w:hAnsi="Times New Roman" w:cs="Times New Roman"/>
                <w:lang w:val="mn-MN" w:eastAsia="ja-JP"/>
              </w:rPr>
              <w:t xml:space="preserve"> ашиглан цахим хэлбэрээр дамжуулан олгохоор хамтарсан ажлын хэсэг байгуулж, холбогдох журмыг боловсруулж сонгон шалгаруулалтыг зохион байгуулсан. Энэ ажлын хүрээнд сонгон шалгаруулалтад шалгарсан ББСБ нь Улаанбаатар хот болон Дархан-Уул аймгийн бизнес эрхлэгч, хувиараа хөдөлмөр эрхлэгчдэд давхардсан тоогоор нийт 3.1 тэрбум төгрөгийн зээл олгосон. </w:t>
            </w:r>
          </w:p>
          <w:p w14:paraId="55AD3B5A" w14:textId="682E6E8E" w:rsidR="005E6513" w:rsidRPr="007774B2" w:rsidRDefault="005E6513" w:rsidP="005E6513">
            <w:pPr>
              <w:ind w:right="-57"/>
              <w:jc w:val="both"/>
              <w:rPr>
                <w:rFonts w:ascii="Times New Roman" w:hAnsi="Times New Roman" w:cs="Times New Roman"/>
                <w:lang w:val="mn-MN" w:eastAsia="ja-JP"/>
              </w:rPr>
            </w:pPr>
            <w:r w:rsidRPr="007774B2">
              <w:rPr>
                <w:rFonts w:ascii="Times New Roman" w:hAnsi="Times New Roman" w:cs="Times New Roman"/>
                <w:b/>
                <w:bCs/>
                <w:lang w:val="mn-MN"/>
              </w:rPr>
              <w:t>2.</w:t>
            </w:r>
            <w:r w:rsidR="00725A4E" w:rsidRPr="007774B2">
              <w:rPr>
                <w:rFonts w:ascii="Times New Roman" w:hAnsi="Times New Roman" w:cs="Times New Roman"/>
                <w:lang w:val="mn-MN"/>
              </w:rPr>
              <w:t xml:space="preserve"> </w:t>
            </w:r>
            <w:r w:rsidRPr="007774B2">
              <w:rPr>
                <w:rFonts w:ascii="Times New Roman" w:hAnsi="Times New Roman" w:cs="Times New Roman"/>
                <w:lang w:val="mn-MN"/>
              </w:rPr>
              <w:t xml:space="preserve">Улаанбаатар хотын төвлөрлийг сааруулж, орон нутгийн тэнцвэртэй хөгжлийг хангах зорилгоор Монгол Улсын 21 аймаг болон Улаанбаатар хотын алслагдсан дүүрэг (Налайх, Багануур, Багахангай)-т банк, санхүүгийн байгууллагууд ипотекийн зээлийн </w:t>
            </w:r>
            <w:r w:rsidRPr="007774B2">
              <w:rPr>
                <w:rFonts w:ascii="Times New Roman" w:hAnsi="Times New Roman" w:cs="Times New Roman"/>
                <w:lang w:val="mn-MN"/>
              </w:rPr>
              <w:lastRenderedPageBreak/>
              <w:t xml:space="preserve">урьдчилгаа төлбөрт батлан даалт гаргаж эхэлсэн бөгөөд 2023 оны </w:t>
            </w:r>
            <w:r w:rsidRPr="007774B2">
              <w:rPr>
                <w:rFonts w:ascii="Times New Roman" w:hAnsi="Times New Roman" w:cs="Times New Roman"/>
              </w:rPr>
              <w:t>III</w:t>
            </w:r>
            <w:r w:rsidRPr="007774B2">
              <w:rPr>
                <w:rFonts w:ascii="Times New Roman" w:hAnsi="Times New Roman" w:cs="Times New Roman"/>
                <w:lang w:val="mn-MN"/>
              </w:rPr>
              <w:t xml:space="preserve"> улирлын байдлаар </w:t>
            </w:r>
            <w:r w:rsidRPr="007774B2">
              <w:rPr>
                <w:rFonts w:ascii="Times New Roman" w:hAnsi="Times New Roman" w:cs="Times New Roman"/>
              </w:rPr>
              <w:t>65</w:t>
            </w:r>
            <w:r w:rsidRPr="007774B2">
              <w:rPr>
                <w:rFonts w:ascii="Times New Roman" w:hAnsi="Times New Roman" w:cs="Times New Roman"/>
                <w:lang w:val="mn-MN"/>
              </w:rPr>
              <w:t xml:space="preserve"> зээлдэгчийн хүсэлтийг шийдвэрлэж, нийт 5.</w:t>
            </w:r>
            <w:r w:rsidRPr="007774B2">
              <w:rPr>
                <w:rFonts w:ascii="Times New Roman" w:hAnsi="Times New Roman" w:cs="Times New Roman"/>
              </w:rPr>
              <w:t xml:space="preserve">2 </w:t>
            </w:r>
            <w:r w:rsidRPr="007774B2">
              <w:rPr>
                <w:rFonts w:ascii="Times New Roman" w:hAnsi="Times New Roman" w:cs="Times New Roman"/>
                <w:lang w:val="mn-MN"/>
              </w:rPr>
              <w:t>тэрбум төгрөгийн зээлд 929.5 сая төгрөгийн батлан даалт гаргасан.</w:t>
            </w:r>
          </w:p>
          <w:p w14:paraId="22532B54" w14:textId="58542F67" w:rsidR="005E34FA" w:rsidRPr="007774B2" w:rsidRDefault="005E6513" w:rsidP="005E6513">
            <w:pPr>
              <w:ind w:right="-57"/>
              <w:jc w:val="both"/>
              <w:rPr>
                <w:rFonts w:ascii="Times New Roman" w:hAnsi="Times New Roman" w:cs="Times New Roman"/>
                <w:lang w:val="mn-MN" w:eastAsia="ja-JP"/>
              </w:rPr>
            </w:pPr>
            <w:r w:rsidRPr="007774B2">
              <w:rPr>
                <w:rFonts w:ascii="Times New Roman" w:eastAsia="Times New Roman" w:hAnsi="Times New Roman" w:cs="Times New Roman"/>
                <w:b/>
                <w:bCs/>
                <w:lang w:val="mn-MN"/>
              </w:rPr>
              <w:t>3.</w:t>
            </w:r>
            <w:r w:rsidR="00725A4E" w:rsidRPr="007774B2">
              <w:rPr>
                <w:rFonts w:ascii="Times New Roman" w:eastAsia="Times New Roman" w:hAnsi="Times New Roman" w:cs="Times New Roman"/>
                <w:lang w:val="mn-MN"/>
              </w:rPr>
              <w:t xml:space="preserve"> </w:t>
            </w:r>
            <w:r w:rsidRPr="007774B2">
              <w:rPr>
                <w:rFonts w:ascii="Times New Roman" w:eastAsia="Times New Roman" w:hAnsi="Times New Roman" w:cs="Times New Roman"/>
                <w:lang w:val="mn-MN"/>
              </w:rPr>
              <w:t>“МИК актив гучин гурав ТЗК” ХХК, “МИК актив гучин дөрөв ТЗК” ХХК-д хөрөнгөөр баталгаажсан үнэт цаас гаргах үйл ажиллагаа эрхлэх тусгай зөвшөөрөл олгож, тэдгээрийн нийт 670.38 тэрбум төгрөгийн үнийн дүн бүхий хөрөнгөөр баталгаажсан үнэт цаасыг бүртгэсэн.</w:t>
            </w:r>
          </w:p>
        </w:tc>
      </w:tr>
      <w:tr w:rsidR="00741874" w:rsidRPr="007774B2" w14:paraId="512681B3" w14:textId="77777777" w:rsidTr="008D2832">
        <w:tc>
          <w:tcPr>
            <w:tcW w:w="14459" w:type="dxa"/>
            <w:gridSpan w:val="13"/>
          </w:tcPr>
          <w:p w14:paraId="026754A2" w14:textId="6FBD239F" w:rsidR="00741874" w:rsidRPr="007774B2" w:rsidRDefault="00741874" w:rsidP="00741874">
            <w:pPr>
              <w:jc w:val="center"/>
              <w:rPr>
                <w:rFonts w:ascii="Times New Roman" w:hAnsi="Times New Roman" w:cs="Times New Roman"/>
                <w:b/>
                <w:bCs/>
                <w:lang w:val="mn-MN" w:eastAsia="ja-JP"/>
              </w:rPr>
            </w:pPr>
            <w:r w:rsidRPr="007774B2">
              <w:rPr>
                <w:rFonts w:ascii="Times New Roman" w:hAnsi="Times New Roman" w:cs="Times New Roman"/>
                <w:b/>
                <w:bCs/>
                <w:lang w:val="mn-MN"/>
              </w:rPr>
              <w:lastRenderedPageBreak/>
              <w:t>ДӨРӨВ. ЗАСАГЛАЛЫН БОДЛОГО</w:t>
            </w:r>
          </w:p>
        </w:tc>
      </w:tr>
      <w:tr w:rsidR="0040242D" w:rsidRPr="007774B2" w14:paraId="3F302559" w14:textId="77777777" w:rsidTr="008D2832">
        <w:tc>
          <w:tcPr>
            <w:tcW w:w="14459" w:type="dxa"/>
            <w:gridSpan w:val="13"/>
          </w:tcPr>
          <w:p w14:paraId="7A9EF529" w14:textId="77F33317" w:rsidR="0040242D" w:rsidRPr="007774B2" w:rsidRDefault="0040242D" w:rsidP="00087922">
            <w:pPr>
              <w:jc w:val="both"/>
              <w:rPr>
                <w:rFonts w:ascii="Times New Roman" w:hAnsi="Times New Roman" w:cs="Times New Roman"/>
                <w:b/>
                <w:bCs/>
                <w:lang w:val="mn-MN" w:eastAsia="ja-JP"/>
              </w:rPr>
            </w:pPr>
            <w:r w:rsidRPr="007774B2">
              <w:rPr>
                <w:rFonts w:ascii="Times New Roman" w:hAnsi="Times New Roman" w:cs="Times New Roman"/>
                <w:b/>
                <w:bCs/>
              </w:rPr>
              <w:t xml:space="preserve">4.4. </w:t>
            </w:r>
            <w:proofErr w:type="spellStart"/>
            <w:r w:rsidRPr="007774B2">
              <w:rPr>
                <w:rFonts w:ascii="Times New Roman" w:hAnsi="Times New Roman" w:cs="Times New Roman"/>
                <w:b/>
                <w:bCs/>
              </w:rPr>
              <w:t>Хараат</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бус</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бие</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даасан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шүүх</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хүний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эрхийг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дээдэлсэн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эрх</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зүйн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шинэтгэл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Шүүгчийн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хараат</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бус</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шүүхийн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бие</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даасан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байдлыг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хангаж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хүний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эрх</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эдийн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засаг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бизнесийн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орчныг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дэмжсэн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хууль</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тогтоомжийн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шинэчлэлийг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хийж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шударга</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ёс</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хуульт</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ёсыг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бэхжүүлн</w:t>
            </w:r>
            <w:proofErr w:type="spellEnd"/>
            <w:r w:rsidRPr="007774B2">
              <w:rPr>
                <w:rFonts w:ascii="Times New Roman" w:hAnsi="Times New Roman" w:cs="Times New Roman"/>
                <w:b/>
                <w:bCs/>
                <w:lang w:val="mn-MN"/>
              </w:rPr>
              <w:t>э</w:t>
            </w:r>
          </w:p>
        </w:tc>
      </w:tr>
      <w:tr w:rsidR="0040242D" w:rsidRPr="007774B2" w14:paraId="49D446C4" w14:textId="77777777" w:rsidTr="008D2832">
        <w:tc>
          <w:tcPr>
            <w:tcW w:w="425" w:type="dxa"/>
          </w:tcPr>
          <w:p w14:paraId="1EB45EBF" w14:textId="47FBF416" w:rsidR="0040242D" w:rsidRPr="007774B2" w:rsidRDefault="0040242D" w:rsidP="00D23154">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4</w:t>
            </w:r>
          </w:p>
        </w:tc>
        <w:tc>
          <w:tcPr>
            <w:tcW w:w="852" w:type="dxa"/>
          </w:tcPr>
          <w:p w14:paraId="08A391AB" w14:textId="441C4843" w:rsidR="0040242D" w:rsidRPr="007774B2" w:rsidRDefault="0040242D"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4.4.6</w:t>
            </w:r>
          </w:p>
        </w:tc>
        <w:tc>
          <w:tcPr>
            <w:tcW w:w="567" w:type="dxa"/>
          </w:tcPr>
          <w:p w14:paraId="0617FD27" w14:textId="0C0D097C" w:rsidR="0040242D" w:rsidRPr="007774B2" w:rsidRDefault="0040242D"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1</w:t>
            </w:r>
          </w:p>
        </w:tc>
        <w:tc>
          <w:tcPr>
            <w:tcW w:w="708" w:type="dxa"/>
            <w:gridSpan w:val="2"/>
          </w:tcPr>
          <w:p w14:paraId="61578533" w14:textId="350658D7" w:rsidR="0040242D" w:rsidRPr="007774B2" w:rsidRDefault="0040242D"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2023</w:t>
            </w:r>
          </w:p>
        </w:tc>
        <w:tc>
          <w:tcPr>
            <w:tcW w:w="851" w:type="dxa"/>
          </w:tcPr>
          <w:p w14:paraId="759DF307" w14:textId="4B1A7FC1" w:rsidR="0040242D" w:rsidRPr="007774B2" w:rsidRDefault="0040242D" w:rsidP="0035291E">
            <w:pPr>
              <w:ind w:left="-57" w:right="-57"/>
              <w:jc w:val="center"/>
              <w:rPr>
                <w:rFonts w:ascii="Times New Roman" w:hAnsi="Times New Roman" w:cs="Times New Roman"/>
                <w:lang w:val="mn-MN"/>
              </w:rPr>
            </w:pPr>
            <w:r w:rsidRPr="007774B2">
              <w:rPr>
                <w:rFonts w:ascii="Times New Roman" w:hAnsi="Times New Roman" w:cs="Times New Roman"/>
                <w:lang w:val="mn-MN"/>
              </w:rPr>
              <w:t>ХЗДХЯ</w:t>
            </w:r>
          </w:p>
        </w:tc>
        <w:tc>
          <w:tcPr>
            <w:tcW w:w="850" w:type="dxa"/>
          </w:tcPr>
          <w:p w14:paraId="47815D43" w14:textId="1C8CF593" w:rsidR="0040242D" w:rsidRPr="007774B2" w:rsidRDefault="0040242D"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Улсын төсөв</w:t>
            </w:r>
          </w:p>
        </w:tc>
        <w:tc>
          <w:tcPr>
            <w:tcW w:w="993" w:type="dxa"/>
          </w:tcPr>
          <w:p w14:paraId="48E3A7C9" w14:textId="3AC99D55" w:rsidR="0040242D" w:rsidRPr="007774B2" w:rsidRDefault="00B56FE6" w:rsidP="00BD3682">
            <w:pPr>
              <w:ind w:left="-57" w:right="-57"/>
              <w:jc w:val="center"/>
              <w:rPr>
                <w:rFonts w:ascii="Times New Roman" w:hAnsi="Times New Roman" w:cs="Times New Roman"/>
                <w:bCs/>
                <w:lang w:val="mn-MN"/>
              </w:rPr>
            </w:pPr>
            <w:r>
              <w:rPr>
                <w:rFonts w:ascii="Times New Roman" w:hAnsi="Times New Roman" w:cs="Times New Roman"/>
                <w:lang w:val="mn-MN"/>
              </w:rPr>
              <w:t>130</w:t>
            </w:r>
            <w:r w:rsidR="0040242D" w:rsidRPr="007774B2">
              <w:rPr>
                <w:rFonts w:ascii="Times New Roman" w:hAnsi="Times New Roman" w:cs="Times New Roman"/>
              </w:rPr>
              <w:t>.0</w:t>
            </w:r>
          </w:p>
        </w:tc>
        <w:tc>
          <w:tcPr>
            <w:tcW w:w="1559" w:type="dxa"/>
          </w:tcPr>
          <w:p w14:paraId="60A898B1" w14:textId="1F0F2258" w:rsidR="0040242D" w:rsidRPr="007774B2" w:rsidRDefault="0040242D" w:rsidP="0040242D">
            <w:pPr>
              <w:ind w:left="-57" w:right="-57"/>
              <w:jc w:val="center"/>
              <w:rPr>
                <w:rFonts w:ascii="Times New Roman" w:hAnsi="Times New Roman" w:cs="Times New Roman"/>
                <w:lang w:val="mn-MN"/>
              </w:rPr>
            </w:pPr>
            <w:r w:rsidRPr="007774B2">
              <w:rPr>
                <w:rFonts w:ascii="Times New Roman" w:hAnsi="Times New Roman" w:cs="Times New Roman"/>
                <w:lang w:val="mn-MN"/>
              </w:rPr>
              <w:t>-</w:t>
            </w:r>
          </w:p>
        </w:tc>
        <w:tc>
          <w:tcPr>
            <w:tcW w:w="1417" w:type="dxa"/>
          </w:tcPr>
          <w:p w14:paraId="3EF6B3DD" w14:textId="0FAB7805" w:rsidR="0040242D" w:rsidRPr="0021148C" w:rsidRDefault="0040242D" w:rsidP="00D23154">
            <w:pPr>
              <w:ind w:left="-57" w:right="-57"/>
              <w:jc w:val="both"/>
              <w:rPr>
                <w:rFonts w:ascii="Times New Roman" w:hAnsi="Times New Roman" w:cs="Times New Roman"/>
                <w:lang w:val="mn-MN"/>
              </w:rPr>
            </w:pPr>
            <w:proofErr w:type="spellStart"/>
            <w:r w:rsidRPr="007774B2">
              <w:rPr>
                <w:rFonts w:ascii="Times New Roman" w:hAnsi="Times New Roman" w:cs="Times New Roman"/>
              </w:rPr>
              <w:t>Арилжааны</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тухай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хууль</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Хэрэглэгчийн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гэрээний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тухай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хууль</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Компанийн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тухай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Шүүхийн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бус</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журмаар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өр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барагдуулах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үйл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ажиллагааны</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тухай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Худалдаа</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үйлдвэрийн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танхимын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тухай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хуулийн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төслийг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олон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нийтээр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хэлэлцүүлж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Улсын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Их</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lastRenderedPageBreak/>
              <w:t>Хуралд</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өргөн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мэдүүлсэн</w:t>
            </w:r>
            <w:proofErr w:type="spellEnd"/>
            <w:r w:rsidR="0021148C">
              <w:rPr>
                <w:rFonts w:ascii="Times New Roman" w:hAnsi="Times New Roman" w:cs="Times New Roman"/>
                <w:lang w:val="mn-MN"/>
              </w:rPr>
              <w:t xml:space="preserve"> байна.</w:t>
            </w:r>
          </w:p>
        </w:tc>
        <w:tc>
          <w:tcPr>
            <w:tcW w:w="851" w:type="dxa"/>
          </w:tcPr>
          <w:p w14:paraId="195EFEE7" w14:textId="013B7AC4" w:rsidR="0040242D" w:rsidRPr="007774B2" w:rsidRDefault="0040242D"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lastRenderedPageBreak/>
              <w:t>-</w:t>
            </w:r>
          </w:p>
        </w:tc>
        <w:tc>
          <w:tcPr>
            <w:tcW w:w="850" w:type="dxa"/>
          </w:tcPr>
          <w:p w14:paraId="6C65A0AF" w14:textId="61E16D98" w:rsidR="0040242D" w:rsidRPr="007774B2" w:rsidRDefault="0040242D"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4536" w:type="dxa"/>
          </w:tcPr>
          <w:p w14:paraId="11D23F54" w14:textId="447A38CB" w:rsidR="00EE7EF9" w:rsidRPr="007774B2" w:rsidRDefault="005E6513" w:rsidP="005E6513">
            <w:pPr>
              <w:jc w:val="both"/>
              <w:rPr>
                <w:rFonts w:ascii="Times New Roman" w:hAnsi="Times New Roman" w:cs="Times New Roman"/>
                <w:lang w:val="mn-MN"/>
              </w:rPr>
            </w:pPr>
            <w:r w:rsidRPr="007774B2">
              <w:rPr>
                <w:rFonts w:ascii="Times New Roman" w:eastAsia="Times New Roman" w:hAnsi="Times New Roman" w:cs="Times New Roman"/>
                <w:b/>
                <w:bCs/>
                <w:color w:val="000000"/>
                <w:lang w:val="mn-MN"/>
              </w:rPr>
              <w:t>1.</w:t>
            </w:r>
            <w:r w:rsidR="00725A4E" w:rsidRPr="007774B2">
              <w:rPr>
                <w:rFonts w:ascii="Times New Roman" w:eastAsia="Times New Roman" w:hAnsi="Times New Roman" w:cs="Times New Roman"/>
                <w:color w:val="000000"/>
                <w:lang w:val="mn-MN"/>
              </w:rPr>
              <w:t xml:space="preserve"> </w:t>
            </w:r>
            <w:r w:rsidRPr="007774B2">
              <w:rPr>
                <w:rFonts w:ascii="Times New Roman" w:eastAsia="Times New Roman" w:hAnsi="Times New Roman" w:cs="Times New Roman"/>
                <w:color w:val="000000"/>
                <w:lang w:val="mn-MN"/>
              </w:rPr>
              <w:t>У</w:t>
            </w:r>
            <w:r w:rsidR="007774B2">
              <w:rPr>
                <w:rFonts w:ascii="Times New Roman" w:eastAsia="Times New Roman" w:hAnsi="Times New Roman" w:cs="Times New Roman"/>
                <w:color w:val="000000"/>
                <w:lang w:val="mn-MN"/>
              </w:rPr>
              <w:t>лсын Их Хурлаас</w:t>
            </w:r>
            <w:r w:rsidRPr="007774B2">
              <w:rPr>
                <w:rFonts w:ascii="Times New Roman" w:eastAsia="Times New Roman" w:hAnsi="Times New Roman" w:cs="Times New Roman"/>
                <w:color w:val="000000"/>
                <w:lang w:val="mn-MN"/>
              </w:rPr>
              <w:t xml:space="preserve"> Мөнгөн зээлийн үйл ажиллагааг зохицуулах тухай хуулийг 2022 оны 11 дүгээр сарын 04-ний өдөр баталж, 2023 оны 3 дугаар сарын 01-ний өдрөөс хэрэгжиж эхэлсэнтэй холбогдуулан зохицуулалтын орчныг бий болгох</w:t>
            </w:r>
            <w:r w:rsidRPr="007774B2">
              <w:rPr>
                <w:rFonts w:ascii="Times New Roman" w:hAnsi="Times New Roman" w:cs="Times New Roman"/>
                <w:lang w:val="mn-MN"/>
              </w:rPr>
              <w:t xml:space="preserve"> чиглэлээр Хорооны 2023 оны 81 дүгээр тогтоолоор “Мөнгөн зээлийн үйл ажиллагаа эрхлэх этгээдийн бүртгэл, үйл ажиллагааны журам”, 82 дугаар тогтоолоор “Мөнгөн зээлийн үйл ажиллагаа эрхлэх этгээд бүртгэлийн дэвтэр хөтлөх, тайлан, мэдээ ирүүлэх журам”, 83 дугаар тогтоолоор  “Мөнгөн зээлийн үйл ажиллагаа эрхлэх этгээдэд хувийн дугаар олгох журам”, 84 дүгээр тогтоолоор “Мөнгөн зээлийн үйл ажиллагааны сургалтын журам”, 85 дугаар тогтоолоор “Мөнгөн зээлийн үйл ажиллагааны бодлогын зөвлөлийн ажиллах журам”-ыг тус тус баталсан бөгөөд </w:t>
            </w:r>
            <w:r w:rsidRPr="007774B2">
              <w:rPr>
                <w:rFonts w:ascii="Times New Roman" w:eastAsia="Times New Roman" w:hAnsi="Times New Roman" w:cs="Times New Roman"/>
                <w:color w:val="000000" w:themeColor="text1"/>
                <w:lang w:val="mn-MN"/>
              </w:rPr>
              <w:t>2023 оны 4 дүгээр сарын 21-ний өдрийн 137 дугаар тогтоолоор Мөнгөн зээлийн үйл ажиллагааны бодлогын зөвлөлийг байгуулсан.</w:t>
            </w:r>
          </w:p>
        </w:tc>
      </w:tr>
      <w:tr w:rsidR="00E1507B" w:rsidRPr="007774B2" w14:paraId="601F7666" w14:textId="77777777" w:rsidTr="008D2832">
        <w:tc>
          <w:tcPr>
            <w:tcW w:w="14459" w:type="dxa"/>
            <w:gridSpan w:val="13"/>
          </w:tcPr>
          <w:p w14:paraId="5260A179" w14:textId="6C9782AE" w:rsidR="00E1507B" w:rsidRPr="007774B2" w:rsidRDefault="00E1507B" w:rsidP="00E1507B">
            <w:pPr>
              <w:jc w:val="center"/>
              <w:rPr>
                <w:rFonts w:ascii="Times New Roman" w:eastAsia="Times New Roman" w:hAnsi="Times New Roman" w:cs="Times New Roman"/>
                <w:b/>
                <w:bCs/>
                <w:color w:val="000000"/>
                <w:lang w:val="mn-MN"/>
              </w:rPr>
            </w:pPr>
            <w:r w:rsidRPr="007774B2">
              <w:rPr>
                <w:rFonts w:ascii="Times New Roman" w:hAnsi="Times New Roman" w:cs="Times New Roman"/>
                <w:b/>
                <w:bCs/>
              </w:rPr>
              <w:t>ТАВ. НОГООН ХӨГЖЛИЙН БОДЛОГО</w:t>
            </w:r>
          </w:p>
        </w:tc>
      </w:tr>
      <w:tr w:rsidR="00A57AE7" w:rsidRPr="007774B2" w14:paraId="0FA36C9A" w14:textId="77777777" w:rsidTr="008D2832">
        <w:tc>
          <w:tcPr>
            <w:tcW w:w="14459" w:type="dxa"/>
            <w:gridSpan w:val="13"/>
          </w:tcPr>
          <w:p w14:paraId="29B7EA47" w14:textId="1B2DEC8D" w:rsidR="00CE5F4C" w:rsidRPr="007774B2" w:rsidRDefault="00DB3AB5" w:rsidP="006541E0">
            <w:pPr>
              <w:ind w:left="-57" w:right="-57"/>
              <w:jc w:val="both"/>
              <w:rPr>
                <w:rFonts w:ascii="Times New Roman" w:eastAsia="Verdana" w:hAnsi="Times New Roman" w:cs="Times New Roman"/>
                <w:b/>
                <w:bCs/>
                <w:lang w:val="mn-MN"/>
              </w:rPr>
            </w:pPr>
            <w:r w:rsidRPr="007774B2">
              <w:rPr>
                <w:rFonts w:ascii="Times New Roman" w:hAnsi="Times New Roman" w:cs="Times New Roman"/>
                <w:b/>
                <w:bCs/>
              </w:rPr>
              <w:t>5.</w:t>
            </w:r>
            <w:proofErr w:type="gramStart"/>
            <w:r w:rsidRPr="007774B2">
              <w:rPr>
                <w:rFonts w:ascii="Times New Roman" w:hAnsi="Times New Roman" w:cs="Times New Roman"/>
                <w:b/>
                <w:bCs/>
              </w:rPr>
              <w:t>1.Ногоон</w:t>
            </w:r>
            <w:proofErr w:type="gramEnd"/>
            <w:r w:rsidRPr="007774B2">
              <w:rPr>
                <w:rFonts w:ascii="Times New Roman" w:hAnsi="Times New Roman" w:cs="Times New Roman"/>
                <w:b/>
                <w:bCs/>
              </w:rPr>
              <w:t xml:space="preserve"> </w:t>
            </w:r>
            <w:proofErr w:type="spellStart"/>
            <w:r w:rsidRPr="007774B2">
              <w:rPr>
                <w:rFonts w:ascii="Times New Roman" w:hAnsi="Times New Roman" w:cs="Times New Roman"/>
                <w:b/>
                <w:bCs/>
              </w:rPr>
              <w:t>хөгжил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Байгаль</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орчныг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хамгаалах</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байгалийн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баялгийг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зүй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зохистой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ашиглаж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дэвшилтэт</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техник</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технологи</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нэвтрүүлж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хүрээлэн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буй</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орчны</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бохирдол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доройтлыг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бууруулж</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иргэдийн</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эрүүл</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орчинд</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амьдрах</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нөхцөлийг</w:t>
            </w:r>
            <w:proofErr w:type="spellEnd"/>
            <w:r w:rsidRPr="007774B2">
              <w:rPr>
                <w:rFonts w:ascii="Times New Roman" w:hAnsi="Times New Roman" w:cs="Times New Roman"/>
                <w:b/>
                <w:bCs/>
              </w:rPr>
              <w:t xml:space="preserve"> </w:t>
            </w:r>
            <w:proofErr w:type="spellStart"/>
            <w:r w:rsidRPr="007774B2">
              <w:rPr>
                <w:rFonts w:ascii="Times New Roman" w:hAnsi="Times New Roman" w:cs="Times New Roman"/>
                <w:b/>
                <w:bCs/>
              </w:rPr>
              <w:t>бүрдүүлнэ</w:t>
            </w:r>
            <w:proofErr w:type="spellEnd"/>
            <w:r w:rsidRPr="007774B2">
              <w:rPr>
                <w:rFonts w:ascii="Times New Roman" w:hAnsi="Times New Roman" w:cs="Times New Roman"/>
                <w:b/>
                <w:bCs/>
              </w:rPr>
              <w:t>.</w:t>
            </w:r>
            <w:r w:rsidR="00CE5F4C" w:rsidRPr="007774B2">
              <w:rPr>
                <w:rFonts w:ascii="Times New Roman" w:eastAsia="Verdana" w:hAnsi="Times New Roman" w:cs="Times New Roman"/>
                <w:b/>
                <w:bCs/>
                <w:lang w:val="mn-MN"/>
              </w:rPr>
              <w:tab/>
            </w:r>
            <w:r w:rsidR="00CE5F4C" w:rsidRPr="007774B2">
              <w:rPr>
                <w:rFonts w:ascii="Times New Roman" w:eastAsia="Verdana" w:hAnsi="Times New Roman" w:cs="Times New Roman"/>
                <w:b/>
                <w:bCs/>
                <w:lang w:val="mn-MN"/>
              </w:rPr>
              <w:tab/>
            </w:r>
            <w:r w:rsidR="00CE5F4C" w:rsidRPr="007774B2">
              <w:rPr>
                <w:rFonts w:ascii="Times New Roman" w:eastAsia="Verdana" w:hAnsi="Times New Roman" w:cs="Times New Roman"/>
                <w:b/>
                <w:bCs/>
                <w:lang w:val="mn-MN"/>
              </w:rPr>
              <w:tab/>
            </w:r>
            <w:r w:rsidR="00CE5F4C" w:rsidRPr="007774B2">
              <w:rPr>
                <w:rFonts w:ascii="Times New Roman" w:eastAsia="Verdana" w:hAnsi="Times New Roman" w:cs="Times New Roman"/>
                <w:b/>
                <w:bCs/>
                <w:lang w:val="mn-MN"/>
              </w:rPr>
              <w:tab/>
            </w:r>
            <w:r w:rsidR="00CE5F4C" w:rsidRPr="007774B2">
              <w:rPr>
                <w:rFonts w:ascii="Times New Roman" w:eastAsia="Verdana" w:hAnsi="Times New Roman" w:cs="Times New Roman"/>
                <w:b/>
                <w:bCs/>
                <w:lang w:val="mn-MN"/>
              </w:rPr>
              <w:tab/>
            </w:r>
            <w:r w:rsidR="00CE5F4C" w:rsidRPr="007774B2">
              <w:rPr>
                <w:rFonts w:ascii="Times New Roman" w:eastAsia="Verdana" w:hAnsi="Times New Roman" w:cs="Times New Roman"/>
                <w:b/>
                <w:bCs/>
                <w:lang w:val="mn-MN"/>
              </w:rPr>
              <w:tab/>
            </w:r>
            <w:r w:rsidR="00CE5F4C" w:rsidRPr="007774B2">
              <w:rPr>
                <w:rFonts w:ascii="Times New Roman" w:eastAsia="Verdana" w:hAnsi="Times New Roman" w:cs="Times New Roman"/>
                <w:b/>
                <w:bCs/>
                <w:lang w:val="mn-MN"/>
              </w:rPr>
              <w:tab/>
            </w:r>
          </w:p>
        </w:tc>
      </w:tr>
      <w:tr w:rsidR="00A57AE7" w:rsidRPr="007774B2" w14:paraId="3AB5D2FD" w14:textId="77777777" w:rsidTr="008D2832">
        <w:tc>
          <w:tcPr>
            <w:tcW w:w="425" w:type="dxa"/>
          </w:tcPr>
          <w:p w14:paraId="0B8A1C60" w14:textId="6C8C9EDF" w:rsidR="006541E0" w:rsidRPr="007774B2" w:rsidRDefault="0040242D" w:rsidP="006541E0">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5</w:t>
            </w:r>
          </w:p>
        </w:tc>
        <w:tc>
          <w:tcPr>
            <w:tcW w:w="852" w:type="dxa"/>
          </w:tcPr>
          <w:p w14:paraId="4C6F4CD7" w14:textId="77777777" w:rsidR="006541E0" w:rsidRPr="007774B2" w:rsidRDefault="006541E0" w:rsidP="00BD3682">
            <w:pPr>
              <w:ind w:left="-57" w:right="-57"/>
              <w:jc w:val="center"/>
              <w:rPr>
                <w:rFonts w:ascii="Times New Roman" w:hAnsi="Times New Roman" w:cs="Times New Roman"/>
                <w:lang w:val="mn-MN" w:bidi="mn-Mong-CN"/>
              </w:rPr>
            </w:pPr>
            <w:r w:rsidRPr="007774B2">
              <w:rPr>
                <w:rFonts w:ascii="Times New Roman" w:hAnsi="Times New Roman" w:cs="Times New Roman"/>
                <w:lang w:val="mn-MN" w:bidi="mn-Mong-CN"/>
              </w:rPr>
              <w:t>5.1.12</w:t>
            </w:r>
          </w:p>
        </w:tc>
        <w:tc>
          <w:tcPr>
            <w:tcW w:w="567" w:type="dxa"/>
          </w:tcPr>
          <w:p w14:paraId="64E3B642" w14:textId="77777777" w:rsidR="006541E0" w:rsidRPr="007774B2" w:rsidRDefault="00CE5F4C"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3</w:t>
            </w:r>
          </w:p>
        </w:tc>
        <w:tc>
          <w:tcPr>
            <w:tcW w:w="708" w:type="dxa"/>
            <w:gridSpan w:val="2"/>
          </w:tcPr>
          <w:p w14:paraId="0ED4003C" w14:textId="77777777" w:rsidR="006541E0" w:rsidRPr="007774B2" w:rsidRDefault="00CE5F4C"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2023</w:t>
            </w:r>
          </w:p>
        </w:tc>
        <w:tc>
          <w:tcPr>
            <w:tcW w:w="851" w:type="dxa"/>
          </w:tcPr>
          <w:p w14:paraId="7619B3BE" w14:textId="77777777" w:rsidR="006541E0" w:rsidRPr="007774B2" w:rsidRDefault="00CE5F4C"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БОАЖЯ</w:t>
            </w:r>
          </w:p>
        </w:tc>
        <w:tc>
          <w:tcPr>
            <w:tcW w:w="850" w:type="dxa"/>
          </w:tcPr>
          <w:p w14:paraId="531177D5" w14:textId="77777777" w:rsidR="006541E0" w:rsidRPr="007774B2" w:rsidRDefault="00CE5F4C" w:rsidP="0035291E">
            <w:pPr>
              <w:ind w:left="-57" w:right="-57"/>
              <w:jc w:val="center"/>
              <w:rPr>
                <w:rFonts w:ascii="Times New Roman" w:hAnsi="Times New Roman" w:cs="Times New Roman"/>
                <w:bCs/>
                <w:lang w:val="mn-MN"/>
              </w:rPr>
            </w:pPr>
            <w:r w:rsidRPr="007774B2">
              <w:rPr>
                <w:rFonts w:ascii="Times New Roman" w:hAnsi="Times New Roman" w:cs="Times New Roman"/>
                <w:bCs/>
                <w:lang w:val="mn-MN"/>
              </w:rPr>
              <w:t>Улсын төсөв</w:t>
            </w:r>
          </w:p>
        </w:tc>
        <w:tc>
          <w:tcPr>
            <w:tcW w:w="993" w:type="dxa"/>
          </w:tcPr>
          <w:p w14:paraId="602F114D" w14:textId="1E903161" w:rsidR="006541E0" w:rsidRPr="007774B2" w:rsidRDefault="0021148C" w:rsidP="006541E0">
            <w:pPr>
              <w:ind w:left="-57" w:right="-57"/>
              <w:jc w:val="both"/>
              <w:rPr>
                <w:rFonts w:ascii="Times New Roman" w:hAnsi="Times New Roman" w:cs="Times New Roman"/>
                <w:bCs/>
              </w:rPr>
            </w:pPr>
            <w:r>
              <w:rPr>
                <w:rFonts w:ascii="Times New Roman" w:hAnsi="Times New Roman" w:cs="Times New Roman"/>
                <w:lang w:val="mn-MN"/>
              </w:rPr>
              <w:t>18,500</w:t>
            </w:r>
            <w:r w:rsidR="007674D8" w:rsidRPr="007774B2">
              <w:rPr>
                <w:rFonts w:ascii="Times New Roman" w:hAnsi="Times New Roman" w:cs="Times New Roman"/>
              </w:rPr>
              <w:t>.0</w:t>
            </w:r>
          </w:p>
        </w:tc>
        <w:tc>
          <w:tcPr>
            <w:tcW w:w="1559" w:type="dxa"/>
          </w:tcPr>
          <w:p w14:paraId="08B79888" w14:textId="053B8466" w:rsidR="006541E0" w:rsidRPr="007774B2" w:rsidRDefault="007674D8" w:rsidP="006541E0">
            <w:pPr>
              <w:ind w:left="-57" w:right="-57"/>
              <w:jc w:val="both"/>
              <w:rPr>
                <w:rFonts w:ascii="Times New Roman" w:hAnsi="Times New Roman" w:cs="Times New Roman"/>
                <w:bCs/>
              </w:rPr>
            </w:pPr>
            <w:proofErr w:type="spellStart"/>
            <w:r w:rsidRPr="007774B2">
              <w:rPr>
                <w:rFonts w:ascii="Times New Roman" w:hAnsi="Times New Roman" w:cs="Times New Roman"/>
              </w:rPr>
              <w:t>Хөрөнгө</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оруулалтын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төслийн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саналыг</w:t>
            </w:r>
            <w:proofErr w:type="spellEnd"/>
            <w:r w:rsidRPr="007774B2">
              <w:rPr>
                <w:rFonts w:ascii="Times New Roman" w:hAnsi="Times New Roman" w:cs="Times New Roman"/>
              </w:rPr>
              <w:t xml:space="preserve"> НҮБ-</w:t>
            </w:r>
            <w:proofErr w:type="spellStart"/>
            <w:r w:rsidRPr="007774B2">
              <w:rPr>
                <w:rFonts w:ascii="Times New Roman" w:hAnsi="Times New Roman" w:cs="Times New Roman"/>
              </w:rPr>
              <w:t>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Уур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амьсгалын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ногоон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санд</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хүргүүлсэн</w:t>
            </w:r>
            <w:proofErr w:type="spellEnd"/>
            <w:r w:rsidRPr="007774B2">
              <w:rPr>
                <w:rFonts w:ascii="Times New Roman" w:hAnsi="Times New Roman" w:cs="Times New Roman"/>
              </w:rPr>
              <w:t>.</w:t>
            </w:r>
          </w:p>
        </w:tc>
        <w:tc>
          <w:tcPr>
            <w:tcW w:w="1417" w:type="dxa"/>
          </w:tcPr>
          <w:p w14:paraId="06635FEB" w14:textId="040FCC52" w:rsidR="006541E0" w:rsidRPr="007774B2" w:rsidRDefault="007674D8" w:rsidP="006541E0">
            <w:pPr>
              <w:ind w:left="-57" w:right="-57"/>
              <w:jc w:val="both"/>
              <w:rPr>
                <w:rFonts w:ascii="Times New Roman" w:hAnsi="Times New Roman" w:cs="Times New Roman"/>
                <w:bCs/>
              </w:rPr>
            </w:pPr>
            <w:r w:rsidRPr="007774B2">
              <w:rPr>
                <w:rFonts w:ascii="Times New Roman" w:hAnsi="Times New Roman" w:cs="Times New Roman"/>
              </w:rPr>
              <w:t xml:space="preserve">5000-аас </w:t>
            </w:r>
            <w:proofErr w:type="spellStart"/>
            <w:r w:rsidRPr="007774B2">
              <w:rPr>
                <w:rFonts w:ascii="Times New Roman" w:hAnsi="Times New Roman" w:cs="Times New Roman"/>
              </w:rPr>
              <w:t>доошгүй</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иргэн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ахуйн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нэгж</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байгууллага</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ногоон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төсөл</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ногоон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зээлийн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үр</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өгөөжийг</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хүртсэн</w:t>
            </w:r>
            <w:proofErr w:type="spellEnd"/>
            <w:r w:rsidRPr="007774B2">
              <w:rPr>
                <w:rFonts w:ascii="Times New Roman" w:hAnsi="Times New Roman" w:cs="Times New Roman"/>
              </w:rPr>
              <w:t xml:space="preserve"> </w:t>
            </w:r>
            <w:proofErr w:type="spellStart"/>
            <w:r w:rsidRPr="007774B2">
              <w:rPr>
                <w:rFonts w:ascii="Times New Roman" w:hAnsi="Times New Roman" w:cs="Times New Roman"/>
              </w:rPr>
              <w:t>байна</w:t>
            </w:r>
            <w:proofErr w:type="spellEnd"/>
          </w:p>
        </w:tc>
        <w:tc>
          <w:tcPr>
            <w:tcW w:w="851" w:type="dxa"/>
          </w:tcPr>
          <w:p w14:paraId="2D636AED" w14:textId="48AC2F0B" w:rsidR="006541E0" w:rsidRPr="007774B2" w:rsidRDefault="00DB3AB5" w:rsidP="00BD3682">
            <w:pPr>
              <w:ind w:left="-57" w:right="-57"/>
              <w:jc w:val="center"/>
              <w:rPr>
                <w:rFonts w:ascii="Times New Roman" w:hAnsi="Times New Roman" w:cs="Times New Roman"/>
                <w:bCs/>
                <w:lang w:val="mn-MN"/>
              </w:rPr>
            </w:pPr>
            <w:r w:rsidRPr="007774B2">
              <w:rPr>
                <w:rFonts w:ascii="Times New Roman" w:hAnsi="Times New Roman" w:cs="Times New Roman"/>
                <w:lang w:val="mn-MN"/>
              </w:rPr>
              <w:t>-</w:t>
            </w:r>
          </w:p>
        </w:tc>
        <w:tc>
          <w:tcPr>
            <w:tcW w:w="850" w:type="dxa"/>
          </w:tcPr>
          <w:p w14:paraId="5A09D48C" w14:textId="5BAB9627" w:rsidR="006541E0" w:rsidRPr="007774B2" w:rsidRDefault="00DB3AB5" w:rsidP="00BD3682">
            <w:pPr>
              <w:ind w:left="-57" w:right="-57"/>
              <w:jc w:val="center"/>
              <w:rPr>
                <w:rFonts w:ascii="Times New Roman" w:hAnsi="Times New Roman" w:cs="Times New Roman"/>
                <w:bCs/>
                <w:lang w:val="mn-MN"/>
              </w:rPr>
            </w:pPr>
            <w:r w:rsidRPr="007774B2">
              <w:rPr>
                <w:rFonts w:ascii="Times New Roman" w:hAnsi="Times New Roman" w:cs="Times New Roman"/>
                <w:bCs/>
                <w:lang w:val="mn-MN"/>
              </w:rPr>
              <w:t>-</w:t>
            </w:r>
          </w:p>
        </w:tc>
        <w:tc>
          <w:tcPr>
            <w:tcW w:w="4536" w:type="dxa"/>
          </w:tcPr>
          <w:p w14:paraId="4A3A1230" w14:textId="387DC778" w:rsidR="005E6513" w:rsidRPr="007774B2" w:rsidRDefault="005E6513" w:rsidP="005E6513">
            <w:pPr>
              <w:ind w:right="-57"/>
              <w:jc w:val="both"/>
              <w:rPr>
                <w:rFonts w:ascii="Times New Roman" w:hAnsi="Times New Roman" w:cs="Times New Roman"/>
                <w:lang w:val="mn-MN"/>
              </w:rPr>
            </w:pPr>
            <w:r w:rsidRPr="007774B2">
              <w:rPr>
                <w:rFonts w:ascii="Times New Roman" w:eastAsia="Times New Roman" w:hAnsi="Times New Roman" w:cs="Times New Roman"/>
                <w:b/>
                <w:bCs/>
                <w:lang w:val="mn-MN"/>
              </w:rPr>
              <w:t>1.</w:t>
            </w:r>
            <w:r w:rsidR="00725A4E" w:rsidRPr="007774B2">
              <w:rPr>
                <w:rFonts w:ascii="Times New Roman" w:eastAsia="Times New Roman" w:hAnsi="Times New Roman" w:cs="Times New Roman"/>
                <w:lang w:val="mn-MN"/>
              </w:rPr>
              <w:t xml:space="preserve"> </w:t>
            </w:r>
            <w:r w:rsidRPr="007774B2">
              <w:rPr>
                <w:rFonts w:ascii="Times New Roman" w:eastAsia="Times New Roman" w:hAnsi="Times New Roman" w:cs="Times New Roman"/>
                <w:lang w:val="mn-MN"/>
              </w:rPr>
              <w:t>Монгол Улсын Ерөнхийлөгчийн ивээл дор 2023 оны  6 дугаар сарын 13-16-ны өдрүүдэд зохион байгуулагдсан “ТоС Долоо Хоног 2023” арга хэмжээг ТоС холбоотой хамтран зохион байгуулж тогтвортой санхүүжилт, ногоон санхүүгийн зах зээлийн зохицуулалтын орчин, цаашид ногоон санхүүжилтийг нэмэгдүүлэх арга хэмжээний талаар хэлэлцсэн</w:t>
            </w:r>
            <w:r w:rsidRPr="007774B2">
              <w:rPr>
                <w:rFonts w:ascii="Times New Roman" w:eastAsia="Times New Roman" w:hAnsi="Times New Roman" w:cs="Times New Roman"/>
              </w:rPr>
              <w:t>;</w:t>
            </w:r>
            <w:r w:rsidRPr="007774B2">
              <w:rPr>
                <w:rFonts w:ascii="Times New Roman" w:eastAsia="Times New Roman" w:hAnsi="Times New Roman" w:cs="Times New Roman"/>
                <w:lang w:val="mn-MN"/>
              </w:rPr>
              <w:t xml:space="preserve"> </w:t>
            </w:r>
          </w:p>
          <w:p w14:paraId="30D884F2" w14:textId="4C5A199D" w:rsidR="005E6513" w:rsidRPr="007774B2" w:rsidRDefault="005E6513" w:rsidP="005E6513">
            <w:pPr>
              <w:ind w:right="-57"/>
              <w:jc w:val="both"/>
              <w:rPr>
                <w:rFonts w:ascii="Times New Roman" w:hAnsi="Times New Roman" w:cs="Times New Roman"/>
                <w:lang w:val="mn-MN"/>
              </w:rPr>
            </w:pPr>
            <w:r w:rsidRPr="007774B2">
              <w:rPr>
                <w:rFonts w:ascii="Times New Roman" w:hAnsi="Times New Roman" w:cs="Times New Roman"/>
                <w:b/>
                <w:bCs/>
                <w:lang w:val="mn-MN"/>
              </w:rPr>
              <w:t>2.</w:t>
            </w:r>
            <w:r w:rsidR="00725A4E" w:rsidRPr="007774B2">
              <w:rPr>
                <w:rFonts w:ascii="Times New Roman" w:hAnsi="Times New Roman" w:cs="Times New Roman"/>
                <w:lang w:val="mn-MN"/>
              </w:rPr>
              <w:t xml:space="preserve"> </w:t>
            </w:r>
            <w:r w:rsidRPr="007774B2">
              <w:rPr>
                <w:rFonts w:ascii="Times New Roman" w:hAnsi="Times New Roman" w:cs="Times New Roman"/>
                <w:lang w:val="mn-MN"/>
              </w:rPr>
              <w:t>Хорооны 2023 оны 794 дүгээр тогтоолын дагуу ББСБ нь БОНЗ болон уур амьсгалын эрсдэлийн удирдлагын тогтолцоог нэвтрүүлж, стандартын дагуу тайлагнасан тохиолдолд эх үүсвэр нэмж татан төвлөрүүлэх боломж бүрдсэн</w:t>
            </w:r>
            <w:r w:rsidRPr="007774B2">
              <w:rPr>
                <w:rFonts w:ascii="Times New Roman" w:hAnsi="Times New Roman" w:cs="Times New Roman"/>
              </w:rPr>
              <w:t>;</w:t>
            </w:r>
          </w:p>
          <w:p w14:paraId="567AA918" w14:textId="37957FC4" w:rsidR="006541E0" w:rsidRPr="007774B2" w:rsidRDefault="005E6513" w:rsidP="005E6513">
            <w:pPr>
              <w:ind w:right="-57"/>
              <w:jc w:val="both"/>
              <w:rPr>
                <w:rFonts w:ascii="Times New Roman" w:hAnsi="Times New Roman" w:cs="Times New Roman"/>
                <w:cs/>
                <w:lang w:val="mn-MN"/>
              </w:rPr>
            </w:pPr>
            <w:r w:rsidRPr="007774B2">
              <w:rPr>
                <w:rFonts w:ascii="Times New Roman" w:hAnsi="Times New Roman" w:cs="Times New Roman"/>
                <w:b/>
                <w:bCs/>
                <w:lang w:val="mn-MN"/>
              </w:rPr>
              <w:t>3.</w:t>
            </w:r>
            <w:r w:rsidR="00725A4E" w:rsidRPr="007774B2">
              <w:rPr>
                <w:rFonts w:ascii="Times New Roman" w:hAnsi="Times New Roman" w:cs="Times New Roman"/>
                <w:lang w:val="mn-MN"/>
              </w:rPr>
              <w:t xml:space="preserve"> </w:t>
            </w:r>
            <w:r w:rsidRPr="007774B2">
              <w:rPr>
                <w:rFonts w:ascii="Times New Roman" w:hAnsi="Times New Roman" w:cs="Times New Roman"/>
                <w:lang w:val="mn-MN"/>
              </w:rPr>
              <w:t xml:space="preserve">Хороо, Азийн хөгжлийн банк </w:t>
            </w:r>
            <w:r w:rsidRPr="007774B2">
              <w:rPr>
                <w:rFonts w:ascii="Times New Roman" w:hAnsi="Times New Roman" w:cs="Times New Roman"/>
              </w:rPr>
              <w:t>(</w:t>
            </w:r>
            <w:r w:rsidRPr="007774B2">
              <w:rPr>
                <w:rFonts w:ascii="Times New Roman" w:hAnsi="Times New Roman" w:cs="Times New Roman"/>
                <w:lang w:val="mn-MN"/>
              </w:rPr>
              <w:t>АХБ</w:t>
            </w:r>
            <w:r w:rsidRPr="007774B2">
              <w:rPr>
                <w:rFonts w:ascii="Times New Roman" w:hAnsi="Times New Roman" w:cs="Times New Roman"/>
              </w:rPr>
              <w:t>)</w:t>
            </w:r>
            <w:r w:rsidRPr="007774B2">
              <w:rPr>
                <w:rFonts w:ascii="Times New Roman" w:hAnsi="Times New Roman" w:cs="Times New Roman"/>
                <w:lang w:val="mn-MN"/>
              </w:rPr>
              <w:t xml:space="preserve"> хамтран “Хүртээмжтэй, ногоон сэргэлтийн төлөө Зүүн Азийн жендерийн тэгш байдлыг эрчимжүүлэх” төслийг 2022 оны 9 дүгээр сараас эхлэн хэрэгжүүлж, ХЗХ-ны гишүүн эмэгтэй удирдлага бүхий бичил, жижиг, дунд үйлдвэрлэл эрхлэгчдийн ногоон санхүүжилтийн хэрэгцээг тодорхойлох суурь судалгааг хийж гүйцэтгэсэн. Суурь судалгааны үр дүнд хадгаламж, зээлийн хоршоодоор дамжуулан ногоон санхүүжилтийг нэмэгдүүлэх, ногоон зээлийн бүтээгдэхүүнийг хөгжүүлэх олон улсын туршлагыг нэвтрүүлэх боломжийн талаар хэлэлцүүлэх уулзалтыг зохион байгуулж нийт </w:t>
            </w:r>
            <w:r w:rsidRPr="007774B2">
              <w:rPr>
                <w:rFonts w:ascii="Times New Roman" w:hAnsi="Times New Roman" w:cs="Times New Roman"/>
                <w:lang w:val="mn-MN"/>
              </w:rPr>
              <w:lastRenderedPageBreak/>
              <w:t>хадгаламж, зээлийн хоршоод болон дэмжигч байгууллага, бодлого тодорхойлогч зэрэг 200 гаруй төлөөлөгчид оролцсон.</w:t>
            </w:r>
          </w:p>
        </w:tc>
      </w:tr>
    </w:tbl>
    <w:p w14:paraId="6C6C0282" w14:textId="77777777" w:rsidR="00947D42" w:rsidRPr="007774B2" w:rsidRDefault="00947D42" w:rsidP="008B418B">
      <w:pPr>
        <w:spacing w:after="0"/>
        <w:jc w:val="both"/>
        <w:rPr>
          <w:rFonts w:ascii="Times New Roman" w:hAnsi="Times New Roman" w:cs="Times New Roman"/>
          <w:lang w:val="mn-MN" w:bidi="mn-Mong-CN"/>
        </w:rPr>
      </w:pPr>
    </w:p>
    <w:p w14:paraId="21D00D07" w14:textId="797283FD" w:rsidR="00347661" w:rsidRPr="007774B2" w:rsidRDefault="00347661" w:rsidP="00347661">
      <w:pPr>
        <w:jc w:val="center"/>
        <w:rPr>
          <w:rFonts w:ascii="Times New Roman" w:hAnsi="Times New Roman" w:cs="Times New Roman"/>
          <w:lang w:val="mn-MN"/>
        </w:rPr>
      </w:pPr>
    </w:p>
    <w:p w14:paraId="459081EF" w14:textId="77777777" w:rsidR="00947D42" w:rsidRPr="007774B2" w:rsidRDefault="00947D42" w:rsidP="008B418B">
      <w:pPr>
        <w:spacing w:after="0"/>
        <w:jc w:val="both"/>
        <w:rPr>
          <w:rFonts w:ascii="Times New Roman" w:hAnsi="Times New Roman" w:cs="Times New Roman"/>
          <w:lang w:val="mn-MN" w:bidi="mn-Mong-CN"/>
        </w:rPr>
      </w:pPr>
    </w:p>
    <w:p w14:paraId="53D59719" w14:textId="77777777" w:rsidR="007631D0" w:rsidRPr="007774B2" w:rsidRDefault="007631D0" w:rsidP="008B418B">
      <w:pPr>
        <w:spacing w:after="0"/>
        <w:ind w:left="2160" w:firstLine="720"/>
        <w:rPr>
          <w:rFonts w:ascii="Times New Roman" w:hAnsi="Times New Roman" w:cs="Times New Roman"/>
          <w:lang w:val="mn-MN" w:bidi="mn-Mong-CN"/>
        </w:rPr>
      </w:pPr>
    </w:p>
    <w:p w14:paraId="44127BCA" w14:textId="77777777" w:rsidR="007631D0" w:rsidRPr="007774B2" w:rsidRDefault="007631D0" w:rsidP="008B418B">
      <w:pPr>
        <w:spacing w:after="0"/>
        <w:jc w:val="center"/>
        <w:rPr>
          <w:rFonts w:ascii="Times New Roman" w:hAnsi="Times New Roman" w:cs="Times New Roman"/>
          <w:lang w:val="mn-MN" w:bidi="mn-Mong-CN"/>
        </w:rPr>
      </w:pPr>
      <w:r w:rsidRPr="007774B2">
        <w:rPr>
          <w:rFonts w:ascii="Times New Roman" w:hAnsi="Times New Roman" w:cs="Times New Roman"/>
          <w:lang w:val="mn-MN" w:bidi="mn-Mong-CN"/>
        </w:rPr>
        <w:t xml:space="preserve">                 </w:t>
      </w:r>
    </w:p>
    <w:sectPr w:rsidR="007631D0" w:rsidRPr="007774B2" w:rsidSect="00810118">
      <w:pgSz w:w="15840" w:h="12240" w:orient="landscape"/>
      <w:pgMar w:top="1701" w:right="1077" w:bottom="102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4390B" w14:textId="77777777" w:rsidR="000004F8" w:rsidRDefault="000004F8" w:rsidP="00810118">
      <w:pPr>
        <w:spacing w:after="0" w:line="240" w:lineRule="auto"/>
      </w:pPr>
      <w:r>
        <w:separator/>
      </w:r>
    </w:p>
  </w:endnote>
  <w:endnote w:type="continuationSeparator" w:id="0">
    <w:p w14:paraId="1CD62BE3" w14:textId="77777777" w:rsidR="000004F8" w:rsidRDefault="000004F8" w:rsidP="0081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891F6" w14:textId="77777777" w:rsidR="000004F8" w:rsidRDefault="000004F8" w:rsidP="00810118">
      <w:pPr>
        <w:spacing w:after="0" w:line="240" w:lineRule="auto"/>
      </w:pPr>
      <w:r>
        <w:separator/>
      </w:r>
    </w:p>
  </w:footnote>
  <w:footnote w:type="continuationSeparator" w:id="0">
    <w:p w14:paraId="238AD6AB" w14:textId="77777777" w:rsidR="000004F8" w:rsidRDefault="000004F8" w:rsidP="00810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E50FA"/>
    <w:multiLevelType w:val="hybridMultilevel"/>
    <w:tmpl w:val="F3023868"/>
    <w:lvl w:ilvl="0" w:tplc="F97002E8">
      <w:start w:val="1"/>
      <w:numFmt w:val="decimal"/>
      <w:lvlText w:val="%1."/>
      <w:lvlJc w:val="left"/>
      <w:pPr>
        <w:ind w:left="246"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 w15:restartNumberingAfterBreak="0">
    <w:nsid w:val="23C43CA1"/>
    <w:multiLevelType w:val="hybridMultilevel"/>
    <w:tmpl w:val="58868000"/>
    <w:lvl w:ilvl="0" w:tplc="C0B0B4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559BF"/>
    <w:multiLevelType w:val="multilevel"/>
    <w:tmpl w:val="338A9E9C"/>
    <w:lvl w:ilvl="0">
      <w:start w:val="1"/>
      <w:numFmt w:val="decimal"/>
      <w:lvlText w:val="%1."/>
      <w:lvlJc w:val="left"/>
      <w:pPr>
        <w:ind w:left="720" w:hanging="360"/>
      </w:pPr>
      <w:rPr>
        <w:b w:val="0"/>
        <w:bCs w:val="0"/>
      </w:rPr>
    </w:lvl>
    <w:lvl w:ilvl="1">
      <w:start w:val="1"/>
      <w:numFmt w:val="decimal"/>
      <w:isLgl/>
      <w:lvlText w:val="%1.%2"/>
      <w:lvlJc w:val="left"/>
      <w:pPr>
        <w:ind w:left="965" w:hanging="605"/>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619201F"/>
    <w:multiLevelType w:val="hybridMultilevel"/>
    <w:tmpl w:val="E4763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221DC"/>
    <w:multiLevelType w:val="hybridMultilevel"/>
    <w:tmpl w:val="C73CE318"/>
    <w:lvl w:ilvl="0" w:tplc="F97002E8">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5" w15:restartNumberingAfterBreak="0">
    <w:nsid w:val="4CF64242"/>
    <w:multiLevelType w:val="hybridMultilevel"/>
    <w:tmpl w:val="D8664C42"/>
    <w:lvl w:ilvl="0" w:tplc="EB12968E">
      <w:start w:val="1"/>
      <w:numFmt w:val="bullet"/>
      <w:lvlText w:val=""/>
      <w:lvlJc w:val="left"/>
      <w:pPr>
        <w:ind w:left="720" w:hanging="360"/>
      </w:pPr>
      <w:rPr>
        <w:rFonts w:ascii="Symbol" w:hAnsi="Symbol" w:hint="default"/>
      </w:rPr>
    </w:lvl>
    <w:lvl w:ilvl="1" w:tplc="67F6A6AA">
      <w:start w:val="1"/>
      <w:numFmt w:val="bullet"/>
      <w:lvlText w:val="o"/>
      <w:lvlJc w:val="left"/>
      <w:pPr>
        <w:ind w:left="1440" w:hanging="360"/>
      </w:pPr>
      <w:rPr>
        <w:rFonts w:ascii="Courier New" w:hAnsi="Courier New" w:hint="default"/>
      </w:rPr>
    </w:lvl>
    <w:lvl w:ilvl="2" w:tplc="7BA25EC8">
      <w:start w:val="1"/>
      <w:numFmt w:val="bullet"/>
      <w:lvlText w:val=""/>
      <w:lvlJc w:val="left"/>
      <w:pPr>
        <w:ind w:left="2160" w:hanging="360"/>
      </w:pPr>
      <w:rPr>
        <w:rFonts w:ascii="Wingdings" w:hAnsi="Wingdings" w:hint="default"/>
      </w:rPr>
    </w:lvl>
    <w:lvl w:ilvl="3" w:tplc="9B64FA20">
      <w:start w:val="1"/>
      <w:numFmt w:val="bullet"/>
      <w:lvlText w:val=""/>
      <w:lvlJc w:val="left"/>
      <w:pPr>
        <w:ind w:left="2880" w:hanging="360"/>
      </w:pPr>
      <w:rPr>
        <w:rFonts w:ascii="Symbol" w:hAnsi="Symbol" w:hint="default"/>
      </w:rPr>
    </w:lvl>
    <w:lvl w:ilvl="4" w:tplc="2DCC38FE">
      <w:start w:val="1"/>
      <w:numFmt w:val="bullet"/>
      <w:lvlText w:val="o"/>
      <w:lvlJc w:val="left"/>
      <w:pPr>
        <w:ind w:left="3600" w:hanging="360"/>
      </w:pPr>
      <w:rPr>
        <w:rFonts w:ascii="Courier New" w:hAnsi="Courier New" w:hint="default"/>
      </w:rPr>
    </w:lvl>
    <w:lvl w:ilvl="5" w:tplc="DDE66A0A">
      <w:start w:val="1"/>
      <w:numFmt w:val="bullet"/>
      <w:lvlText w:val=""/>
      <w:lvlJc w:val="left"/>
      <w:pPr>
        <w:ind w:left="4320" w:hanging="360"/>
      </w:pPr>
      <w:rPr>
        <w:rFonts w:ascii="Wingdings" w:hAnsi="Wingdings" w:hint="default"/>
      </w:rPr>
    </w:lvl>
    <w:lvl w:ilvl="6" w:tplc="76F88848">
      <w:start w:val="1"/>
      <w:numFmt w:val="bullet"/>
      <w:lvlText w:val=""/>
      <w:lvlJc w:val="left"/>
      <w:pPr>
        <w:ind w:left="5040" w:hanging="360"/>
      </w:pPr>
      <w:rPr>
        <w:rFonts w:ascii="Symbol" w:hAnsi="Symbol" w:hint="default"/>
      </w:rPr>
    </w:lvl>
    <w:lvl w:ilvl="7" w:tplc="C764C8EC">
      <w:start w:val="1"/>
      <w:numFmt w:val="bullet"/>
      <w:lvlText w:val="o"/>
      <w:lvlJc w:val="left"/>
      <w:pPr>
        <w:ind w:left="5760" w:hanging="360"/>
      </w:pPr>
      <w:rPr>
        <w:rFonts w:ascii="Courier New" w:hAnsi="Courier New" w:hint="default"/>
      </w:rPr>
    </w:lvl>
    <w:lvl w:ilvl="8" w:tplc="BFC0BD06">
      <w:start w:val="1"/>
      <w:numFmt w:val="bullet"/>
      <w:lvlText w:val=""/>
      <w:lvlJc w:val="left"/>
      <w:pPr>
        <w:ind w:left="6480" w:hanging="360"/>
      </w:pPr>
      <w:rPr>
        <w:rFonts w:ascii="Wingdings" w:hAnsi="Wingdings" w:hint="default"/>
      </w:rPr>
    </w:lvl>
  </w:abstractNum>
  <w:abstractNum w:abstractNumId="6" w15:restartNumberingAfterBreak="0">
    <w:nsid w:val="6F1E1A70"/>
    <w:multiLevelType w:val="hybridMultilevel"/>
    <w:tmpl w:val="F1D07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68"/>
    <w:rsid w:val="000004F8"/>
    <w:rsid w:val="0003691C"/>
    <w:rsid w:val="00047EBB"/>
    <w:rsid w:val="00083E0F"/>
    <w:rsid w:val="00087922"/>
    <w:rsid w:val="000A218F"/>
    <w:rsid w:val="000E306B"/>
    <w:rsid w:val="000F624B"/>
    <w:rsid w:val="00112ACC"/>
    <w:rsid w:val="001346CC"/>
    <w:rsid w:val="00151893"/>
    <w:rsid w:val="001921A7"/>
    <w:rsid w:val="001C0643"/>
    <w:rsid w:val="001D04BA"/>
    <w:rsid w:val="0021148C"/>
    <w:rsid w:val="002150F3"/>
    <w:rsid w:val="00221702"/>
    <w:rsid w:val="00221EB3"/>
    <w:rsid w:val="00254F37"/>
    <w:rsid w:val="00264FFD"/>
    <w:rsid w:val="002963F3"/>
    <w:rsid w:val="00296970"/>
    <w:rsid w:val="00301107"/>
    <w:rsid w:val="003031C6"/>
    <w:rsid w:val="00306525"/>
    <w:rsid w:val="00347661"/>
    <w:rsid w:val="003515FC"/>
    <w:rsid w:val="0035291E"/>
    <w:rsid w:val="00352D6C"/>
    <w:rsid w:val="00363DF6"/>
    <w:rsid w:val="00373A01"/>
    <w:rsid w:val="003A2A36"/>
    <w:rsid w:val="003D3B7A"/>
    <w:rsid w:val="0040242D"/>
    <w:rsid w:val="00417F48"/>
    <w:rsid w:val="00440608"/>
    <w:rsid w:val="00490CDF"/>
    <w:rsid w:val="00490FE8"/>
    <w:rsid w:val="004D0525"/>
    <w:rsid w:val="004D62CF"/>
    <w:rsid w:val="004E09F5"/>
    <w:rsid w:val="0050659F"/>
    <w:rsid w:val="00531CF3"/>
    <w:rsid w:val="00534A34"/>
    <w:rsid w:val="005802C0"/>
    <w:rsid w:val="00583917"/>
    <w:rsid w:val="00584BD0"/>
    <w:rsid w:val="005A7FE9"/>
    <w:rsid w:val="005B14DB"/>
    <w:rsid w:val="005E34FA"/>
    <w:rsid w:val="005E6513"/>
    <w:rsid w:val="00603415"/>
    <w:rsid w:val="006130DD"/>
    <w:rsid w:val="0062585B"/>
    <w:rsid w:val="0063200F"/>
    <w:rsid w:val="00640FA8"/>
    <w:rsid w:val="006456A2"/>
    <w:rsid w:val="006541E0"/>
    <w:rsid w:val="00684C38"/>
    <w:rsid w:val="00690B9B"/>
    <w:rsid w:val="006A098A"/>
    <w:rsid w:val="006B3A91"/>
    <w:rsid w:val="006C0B1D"/>
    <w:rsid w:val="006E6300"/>
    <w:rsid w:val="00725A4E"/>
    <w:rsid w:val="00741874"/>
    <w:rsid w:val="00745CB3"/>
    <w:rsid w:val="00760192"/>
    <w:rsid w:val="00760653"/>
    <w:rsid w:val="007631D0"/>
    <w:rsid w:val="007674D8"/>
    <w:rsid w:val="007774B2"/>
    <w:rsid w:val="007D2F24"/>
    <w:rsid w:val="007F70DA"/>
    <w:rsid w:val="00807D22"/>
    <w:rsid w:val="00810118"/>
    <w:rsid w:val="0082795C"/>
    <w:rsid w:val="00853D0E"/>
    <w:rsid w:val="008659B1"/>
    <w:rsid w:val="008B418B"/>
    <w:rsid w:val="008C567F"/>
    <w:rsid w:val="008D2832"/>
    <w:rsid w:val="008F1C93"/>
    <w:rsid w:val="00915929"/>
    <w:rsid w:val="00947D42"/>
    <w:rsid w:val="00955011"/>
    <w:rsid w:val="00982FD3"/>
    <w:rsid w:val="009A03B0"/>
    <w:rsid w:val="00A0036B"/>
    <w:rsid w:val="00A24466"/>
    <w:rsid w:val="00A43A63"/>
    <w:rsid w:val="00A47F65"/>
    <w:rsid w:val="00A57AE7"/>
    <w:rsid w:val="00A84221"/>
    <w:rsid w:val="00A920F4"/>
    <w:rsid w:val="00A96E16"/>
    <w:rsid w:val="00AB5017"/>
    <w:rsid w:val="00AF6668"/>
    <w:rsid w:val="00B15331"/>
    <w:rsid w:val="00B205E7"/>
    <w:rsid w:val="00B3442A"/>
    <w:rsid w:val="00B56FE6"/>
    <w:rsid w:val="00B77CD2"/>
    <w:rsid w:val="00B77FA0"/>
    <w:rsid w:val="00B95424"/>
    <w:rsid w:val="00B96C97"/>
    <w:rsid w:val="00BA0833"/>
    <w:rsid w:val="00BA6FA7"/>
    <w:rsid w:val="00BC25F3"/>
    <w:rsid w:val="00BC6936"/>
    <w:rsid w:val="00BD3682"/>
    <w:rsid w:val="00BE118B"/>
    <w:rsid w:val="00BE5C11"/>
    <w:rsid w:val="00C161B9"/>
    <w:rsid w:val="00C17516"/>
    <w:rsid w:val="00C3764B"/>
    <w:rsid w:val="00C52C96"/>
    <w:rsid w:val="00C61DC4"/>
    <w:rsid w:val="00C65462"/>
    <w:rsid w:val="00CD6D8E"/>
    <w:rsid w:val="00CE4EBC"/>
    <w:rsid w:val="00CE5F4C"/>
    <w:rsid w:val="00D11420"/>
    <w:rsid w:val="00D1144C"/>
    <w:rsid w:val="00D20477"/>
    <w:rsid w:val="00D23154"/>
    <w:rsid w:val="00D4511A"/>
    <w:rsid w:val="00D50D0B"/>
    <w:rsid w:val="00D55E05"/>
    <w:rsid w:val="00D601EC"/>
    <w:rsid w:val="00D63955"/>
    <w:rsid w:val="00DB2A6E"/>
    <w:rsid w:val="00DB3AB5"/>
    <w:rsid w:val="00DF2181"/>
    <w:rsid w:val="00E1507B"/>
    <w:rsid w:val="00E17B85"/>
    <w:rsid w:val="00E33A3C"/>
    <w:rsid w:val="00E33E16"/>
    <w:rsid w:val="00E408ED"/>
    <w:rsid w:val="00E55F12"/>
    <w:rsid w:val="00E56402"/>
    <w:rsid w:val="00E91B3F"/>
    <w:rsid w:val="00E9230E"/>
    <w:rsid w:val="00EA057F"/>
    <w:rsid w:val="00EB5ACB"/>
    <w:rsid w:val="00EE7EF9"/>
    <w:rsid w:val="00F2358C"/>
    <w:rsid w:val="00F24095"/>
    <w:rsid w:val="00F40090"/>
    <w:rsid w:val="00F50694"/>
    <w:rsid w:val="00F545D2"/>
    <w:rsid w:val="00F67568"/>
    <w:rsid w:val="00FA4A24"/>
    <w:rsid w:val="00FA7F56"/>
    <w:rsid w:val="00FB40D1"/>
    <w:rsid w:val="00FD104D"/>
    <w:rsid w:val="00FE21C1"/>
    <w:rsid w:val="00FE7355"/>
    <w:rsid w:val="00FF5FF6"/>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2E0D"/>
  <w15:chartTrackingRefBased/>
  <w15:docId w15:val="{CE807D95-E699-4145-8BB5-9D9CB854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6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B3"/>
    <w:rPr>
      <w:rFonts w:ascii="Segoe UI" w:hAnsi="Segoe UI" w:cs="Segoe UI"/>
      <w:sz w:val="18"/>
      <w:szCs w:val="18"/>
    </w:rPr>
  </w:style>
  <w:style w:type="paragraph" w:styleId="ListParagraph">
    <w:name w:val="List Paragraph"/>
    <w:aliases w:val="IBL List Paragraph,AusAID List Paragraph,List Paragraph1,ADB paragraph numbering,Colorful List - Accent 11,列出段落3,列出段落1,Recommendation,List Paragraph11,Bulleted List Paragraph,IBL List Paragra,List Paragraph (numbered (a)),References"/>
    <w:basedOn w:val="Normal"/>
    <w:link w:val="ListParagraphChar"/>
    <w:uiPriority w:val="34"/>
    <w:qFormat/>
    <w:rsid w:val="00D63955"/>
    <w:pPr>
      <w:ind w:left="720"/>
      <w:contextualSpacing/>
    </w:pPr>
  </w:style>
  <w:style w:type="paragraph" w:styleId="Header">
    <w:name w:val="header"/>
    <w:basedOn w:val="Normal"/>
    <w:link w:val="HeaderChar"/>
    <w:uiPriority w:val="99"/>
    <w:unhideWhenUsed/>
    <w:rsid w:val="00810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118"/>
  </w:style>
  <w:style w:type="paragraph" w:styleId="Footer">
    <w:name w:val="footer"/>
    <w:basedOn w:val="Normal"/>
    <w:link w:val="FooterChar"/>
    <w:uiPriority w:val="99"/>
    <w:unhideWhenUsed/>
    <w:rsid w:val="00810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118"/>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basedOn w:val="DefaultParagraphFont"/>
    <w:link w:val="ListParagraph"/>
    <w:uiPriority w:val="34"/>
    <w:qFormat/>
    <w:locked/>
    <w:rsid w:val="001921A7"/>
  </w:style>
  <w:style w:type="character" w:styleId="Hyperlink">
    <w:name w:val="Hyperlink"/>
    <w:basedOn w:val="DefaultParagraphFont"/>
    <w:uiPriority w:val="99"/>
    <w:unhideWhenUsed/>
    <w:rsid w:val="00A842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90162">
      <w:bodyDiv w:val="1"/>
      <w:marLeft w:val="0"/>
      <w:marRight w:val="0"/>
      <w:marTop w:val="0"/>
      <w:marBottom w:val="0"/>
      <w:divBdr>
        <w:top w:val="none" w:sz="0" w:space="0" w:color="auto"/>
        <w:left w:val="none" w:sz="0" w:space="0" w:color="auto"/>
        <w:bottom w:val="none" w:sz="0" w:space="0" w:color="auto"/>
        <w:right w:val="none" w:sz="0" w:space="0" w:color="auto"/>
      </w:divBdr>
    </w:div>
    <w:div w:id="301471047">
      <w:bodyDiv w:val="1"/>
      <w:marLeft w:val="0"/>
      <w:marRight w:val="0"/>
      <w:marTop w:val="0"/>
      <w:marBottom w:val="0"/>
      <w:divBdr>
        <w:top w:val="none" w:sz="0" w:space="0" w:color="auto"/>
        <w:left w:val="none" w:sz="0" w:space="0" w:color="auto"/>
        <w:bottom w:val="none" w:sz="0" w:space="0" w:color="auto"/>
        <w:right w:val="none" w:sz="0" w:space="0" w:color="auto"/>
      </w:divBdr>
    </w:div>
    <w:div w:id="345329664">
      <w:bodyDiv w:val="1"/>
      <w:marLeft w:val="0"/>
      <w:marRight w:val="0"/>
      <w:marTop w:val="0"/>
      <w:marBottom w:val="0"/>
      <w:divBdr>
        <w:top w:val="none" w:sz="0" w:space="0" w:color="auto"/>
        <w:left w:val="none" w:sz="0" w:space="0" w:color="auto"/>
        <w:bottom w:val="none" w:sz="0" w:space="0" w:color="auto"/>
        <w:right w:val="none" w:sz="0" w:space="0" w:color="auto"/>
      </w:divBdr>
    </w:div>
    <w:div w:id="1215507921">
      <w:bodyDiv w:val="1"/>
      <w:marLeft w:val="0"/>
      <w:marRight w:val="0"/>
      <w:marTop w:val="0"/>
      <w:marBottom w:val="0"/>
      <w:divBdr>
        <w:top w:val="none" w:sz="0" w:space="0" w:color="auto"/>
        <w:left w:val="none" w:sz="0" w:space="0" w:color="auto"/>
        <w:bottom w:val="none" w:sz="0" w:space="0" w:color="auto"/>
        <w:right w:val="none" w:sz="0" w:space="0" w:color="auto"/>
      </w:divBdr>
    </w:div>
    <w:div w:id="1577327843">
      <w:bodyDiv w:val="1"/>
      <w:marLeft w:val="0"/>
      <w:marRight w:val="0"/>
      <w:marTop w:val="0"/>
      <w:marBottom w:val="0"/>
      <w:divBdr>
        <w:top w:val="none" w:sz="0" w:space="0" w:color="auto"/>
        <w:left w:val="none" w:sz="0" w:space="0" w:color="auto"/>
        <w:bottom w:val="none" w:sz="0" w:space="0" w:color="auto"/>
        <w:right w:val="none" w:sz="0" w:space="0" w:color="auto"/>
      </w:divBdr>
    </w:div>
    <w:div w:id="20028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91084-2783-45D7-9925-062ABC68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36</cp:revision>
  <cp:lastPrinted>2024-01-19T06:55:00Z</cp:lastPrinted>
  <dcterms:created xsi:type="dcterms:W3CDTF">2024-01-18T11:43:00Z</dcterms:created>
  <dcterms:modified xsi:type="dcterms:W3CDTF">2024-01-19T07:26:00Z</dcterms:modified>
</cp:coreProperties>
</file>